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FB500" w14:textId="50A22615" w:rsidR="001004A9" w:rsidRPr="008552B8" w:rsidRDefault="00E768FB" w:rsidP="008552B8">
      <w:pPr>
        <w:pStyle w:val="Heading1"/>
        <w:spacing w:after="240"/>
        <w:rPr>
          <w:sz w:val="43"/>
          <w:szCs w:val="43"/>
        </w:rPr>
      </w:pPr>
      <w:bookmarkStart w:id="0" w:name="_GoBack"/>
      <w:bookmarkEnd w:id="0"/>
      <w:r>
        <w:rPr>
          <w:sz w:val="43"/>
          <w:szCs w:val="43"/>
        </w:rPr>
        <w:t>Major projects assessment</w:t>
      </w:r>
      <w:r w:rsidR="00DB298F" w:rsidRPr="008552B8">
        <w:rPr>
          <w:sz w:val="43"/>
          <w:szCs w:val="43"/>
        </w:rPr>
        <w:t xml:space="preserve"> Reform</w:t>
      </w:r>
      <w:r w:rsidR="00BF18E6">
        <w:rPr>
          <w:sz w:val="43"/>
          <w:szCs w:val="43"/>
        </w:rPr>
        <w:t>:</w:t>
      </w:r>
      <w:r w:rsidR="003979E4" w:rsidRPr="008552B8">
        <w:rPr>
          <w:sz w:val="43"/>
          <w:szCs w:val="43"/>
        </w:rPr>
        <w:t xml:space="preserve"> </w:t>
      </w:r>
      <w:r w:rsidR="00BF18E6">
        <w:rPr>
          <w:sz w:val="43"/>
          <w:szCs w:val="43"/>
        </w:rPr>
        <w:br/>
      </w:r>
      <w:r w:rsidR="00990820">
        <w:rPr>
          <w:sz w:val="43"/>
          <w:szCs w:val="43"/>
        </w:rPr>
        <w:t>STAGED APPROVAL PROCESS</w:t>
      </w:r>
    </w:p>
    <w:p w14:paraId="2DAFBC1C" w14:textId="77777777" w:rsidR="00FC3197" w:rsidRDefault="00FC3197" w:rsidP="008552B8">
      <w:pPr>
        <w:spacing w:before="120" w:after="180"/>
        <w:rPr>
          <w:rFonts w:ascii="Gill Sans MT" w:hAnsi="Gill Sans MT"/>
          <w:bCs/>
          <w:i/>
        </w:rPr>
        <w:sectPr w:rsidR="00FC3197" w:rsidSect="00A5389A">
          <w:headerReference w:type="default" r:id="rId8"/>
          <w:footerReference w:type="default" r:id="rId9"/>
          <w:pgSz w:w="11900" w:h="16840"/>
          <w:pgMar w:top="2552" w:right="1797" w:bottom="1440" w:left="1418" w:header="709" w:footer="484" w:gutter="0"/>
          <w:cols w:space="708"/>
        </w:sectPr>
      </w:pPr>
    </w:p>
    <w:p w14:paraId="49D0426E" w14:textId="77777777" w:rsidR="00E47115" w:rsidRPr="00DB298F" w:rsidRDefault="006F67B8" w:rsidP="008552B8">
      <w:pPr>
        <w:pStyle w:val="Heading2"/>
        <w:spacing w:before="120"/>
      </w:pPr>
      <w:r>
        <w:t>Overview</w:t>
      </w:r>
    </w:p>
    <w:p w14:paraId="1FDCC026" w14:textId="2385AE8B" w:rsidR="00CF13A3" w:rsidRDefault="00DB298F" w:rsidP="00251AE7">
      <w:pPr>
        <w:spacing w:after="120"/>
        <w:rPr>
          <w:rFonts w:ascii="Gill Sans MT" w:hAnsi="Gill Sans MT"/>
          <w:bCs/>
          <w:szCs w:val="24"/>
        </w:rPr>
      </w:pPr>
      <w:r w:rsidRPr="00296961">
        <w:rPr>
          <w:rFonts w:ascii="Gill Sans MT" w:hAnsi="Gill Sans MT"/>
          <w:bCs/>
          <w:szCs w:val="24"/>
        </w:rPr>
        <w:t xml:space="preserve">The </w:t>
      </w:r>
      <w:r w:rsidR="009B62BE">
        <w:rPr>
          <w:rFonts w:ascii="Gill Sans MT" w:hAnsi="Gill Sans MT"/>
          <w:bCs/>
          <w:szCs w:val="24"/>
        </w:rPr>
        <w:t xml:space="preserve">draft Land Use Planning and Approvals Amendment </w:t>
      </w:r>
      <w:r w:rsidR="00E64DAA">
        <w:rPr>
          <w:rFonts w:ascii="Gill Sans MT" w:hAnsi="Gill Sans MT"/>
          <w:bCs/>
          <w:szCs w:val="24"/>
        </w:rPr>
        <w:t>(Major Projects) Bill 2018</w:t>
      </w:r>
      <w:r w:rsidR="008B3DB6">
        <w:rPr>
          <w:rFonts w:ascii="Gill Sans MT" w:hAnsi="Gill Sans MT"/>
          <w:bCs/>
          <w:szCs w:val="24"/>
        </w:rPr>
        <w:t xml:space="preserve"> </w:t>
      </w:r>
      <w:r w:rsidR="00261906">
        <w:rPr>
          <w:rFonts w:ascii="Gill Sans MT" w:hAnsi="Gill Sans MT"/>
          <w:bCs/>
          <w:szCs w:val="24"/>
        </w:rPr>
        <w:t>introduces:</w:t>
      </w:r>
    </w:p>
    <w:p w14:paraId="5B621D17" w14:textId="5C1EB7F0" w:rsidR="00CF13A3" w:rsidRDefault="00CF13A3" w:rsidP="00A66F83">
      <w:pPr>
        <w:pStyle w:val="ListParagraph"/>
        <w:numPr>
          <w:ilvl w:val="0"/>
          <w:numId w:val="41"/>
        </w:numPr>
        <w:spacing w:after="0"/>
        <w:ind w:left="714" w:hanging="357"/>
        <w:contextualSpacing w:val="0"/>
        <w:rPr>
          <w:rFonts w:ascii="Gill Sans MT" w:hAnsi="Gill Sans MT"/>
          <w:bCs/>
          <w:szCs w:val="24"/>
        </w:rPr>
      </w:pPr>
      <w:r>
        <w:rPr>
          <w:rFonts w:ascii="Gill Sans MT" w:hAnsi="Gill Sans MT"/>
          <w:bCs/>
          <w:szCs w:val="24"/>
        </w:rPr>
        <w:t>A</w:t>
      </w:r>
      <w:r w:rsidR="008B3DB6" w:rsidRPr="00A66F83">
        <w:rPr>
          <w:rFonts w:ascii="Gill Sans MT" w:hAnsi="Gill Sans MT"/>
          <w:bCs/>
          <w:szCs w:val="24"/>
        </w:rPr>
        <w:t xml:space="preserve"> ‘no reasonable prospect’ test early in the </w:t>
      </w:r>
      <w:r w:rsidR="00836FCA">
        <w:rPr>
          <w:rFonts w:ascii="Gill Sans MT" w:hAnsi="Gill Sans MT"/>
          <w:bCs/>
          <w:szCs w:val="24"/>
        </w:rPr>
        <w:t xml:space="preserve">assessment </w:t>
      </w:r>
      <w:r w:rsidR="008B3DB6" w:rsidRPr="00A66F83">
        <w:rPr>
          <w:rFonts w:ascii="Gill Sans MT" w:hAnsi="Gill Sans MT"/>
          <w:bCs/>
          <w:szCs w:val="24"/>
        </w:rPr>
        <w:t>process</w:t>
      </w:r>
      <w:r w:rsidR="00E44016">
        <w:rPr>
          <w:rFonts w:ascii="Gill Sans MT" w:hAnsi="Gill Sans MT"/>
          <w:bCs/>
          <w:szCs w:val="24"/>
        </w:rPr>
        <w:t xml:space="preserve"> based on preliminary documentation provided by the proponent</w:t>
      </w:r>
      <w:r w:rsidR="006D4171">
        <w:rPr>
          <w:rFonts w:ascii="Gill Sans MT" w:hAnsi="Gill Sans MT"/>
          <w:bCs/>
          <w:szCs w:val="24"/>
        </w:rPr>
        <w:t xml:space="preserve"> in the form of a Major Project Proposal</w:t>
      </w:r>
      <w:r w:rsidR="00384F27">
        <w:rPr>
          <w:rFonts w:ascii="Gill Sans MT" w:hAnsi="Gill Sans MT"/>
          <w:bCs/>
          <w:szCs w:val="24"/>
        </w:rPr>
        <w:t>; and</w:t>
      </w:r>
      <w:r w:rsidR="008B3DB6" w:rsidRPr="00A66F83">
        <w:rPr>
          <w:rFonts w:ascii="Gill Sans MT" w:hAnsi="Gill Sans MT"/>
          <w:bCs/>
          <w:szCs w:val="24"/>
        </w:rPr>
        <w:t xml:space="preserve"> </w:t>
      </w:r>
    </w:p>
    <w:p w14:paraId="3285199D" w14:textId="4454CDB0" w:rsidR="00CF13A3" w:rsidRDefault="006D0D47" w:rsidP="00A66F83">
      <w:pPr>
        <w:pStyle w:val="ListParagraph"/>
        <w:numPr>
          <w:ilvl w:val="0"/>
          <w:numId w:val="41"/>
        </w:numPr>
        <w:spacing w:after="0"/>
        <w:ind w:left="714" w:hanging="357"/>
        <w:contextualSpacing w:val="0"/>
        <w:rPr>
          <w:rFonts w:ascii="Gill Sans MT" w:hAnsi="Gill Sans MT"/>
          <w:bCs/>
          <w:szCs w:val="24"/>
        </w:rPr>
      </w:pPr>
      <w:r>
        <w:rPr>
          <w:rFonts w:ascii="Gill Sans MT" w:hAnsi="Gill Sans MT"/>
          <w:bCs/>
          <w:szCs w:val="24"/>
        </w:rPr>
        <w:t xml:space="preserve">The ability to provide in-principle </w:t>
      </w:r>
      <w:r w:rsidR="006F16B5" w:rsidRPr="006F16B5">
        <w:rPr>
          <w:rFonts w:ascii="Gill Sans MT" w:hAnsi="Gill Sans MT"/>
          <w:bCs/>
          <w:szCs w:val="24"/>
        </w:rPr>
        <w:t xml:space="preserve">permit commencement conditions </w:t>
      </w:r>
      <w:r w:rsidR="00151D8C">
        <w:rPr>
          <w:rFonts w:ascii="Gill Sans MT" w:hAnsi="Gill Sans MT"/>
          <w:bCs/>
          <w:szCs w:val="24"/>
        </w:rPr>
        <w:t xml:space="preserve">(IPPCCs) </w:t>
      </w:r>
      <w:r w:rsidR="00E44016">
        <w:rPr>
          <w:rFonts w:ascii="Gill Sans MT" w:hAnsi="Gill Sans MT"/>
          <w:bCs/>
          <w:szCs w:val="24"/>
        </w:rPr>
        <w:t xml:space="preserve">following public exhibition and hearings on the project. </w:t>
      </w:r>
      <w:r w:rsidR="00261906">
        <w:rPr>
          <w:rFonts w:ascii="Gill Sans MT" w:hAnsi="Gill Sans MT"/>
          <w:bCs/>
          <w:szCs w:val="24"/>
        </w:rPr>
        <w:t xml:space="preserve">This </w:t>
      </w:r>
      <w:r w:rsidR="00E44016">
        <w:rPr>
          <w:rFonts w:ascii="Gill Sans MT" w:hAnsi="Gill Sans MT"/>
          <w:bCs/>
          <w:szCs w:val="24"/>
        </w:rPr>
        <w:t>occur</w:t>
      </w:r>
      <w:r w:rsidR="00261906">
        <w:rPr>
          <w:rFonts w:ascii="Gill Sans MT" w:hAnsi="Gill Sans MT"/>
          <w:bCs/>
          <w:szCs w:val="24"/>
        </w:rPr>
        <w:t>s</w:t>
      </w:r>
      <w:r w:rsidR="00E44016">
        <w:rPr>
          <w:rFonts w:ascii="Gill Sans MT" w:hAnsi="Gill Sans MT"/>
          <w:bCs/>
          <w:szCs w:val="24"/>
        </w:rPr>
        <w:t xml:space="preserve"> </w:t>
      </w:r>
      <w:r>
        <w:rPr>
          <w:rFonts w:ascii="Gill Sans MT" w:hAnsi="Gill Sans MT"/>
          <w:bCs/>
          <w:szCs w:val="24"/>
        </w:rPr>
        <w:t xml:space="preserve">through the </w:t>
      </w:r>
      <w:r w:rsidR="005A4547">
        <w:rPr>
          <w:rFonts w:ascii="Gill Sans MT" w:hAnsi="Gill Sans MT"/>
          <w:bCs/>
          <w:szCs w:val="24"/>
        </w:rPr>
        <w:t xml:space="preserve">grant </w:t>
      </w:r>
      <w:r>
        <w:rPr>
          <w:rFonts w:ascii="Gill Sans MT" w:hAnsi="Gill Sans MT"/>
          <w:bCs/>
          <w:szCs w:val="24"/>
        </w:rPr>
        <w:t xml:space="preserve">of </w:t>
      </w:r>
      <w:r w:rsidR="005A4547">
        <w:rPr>
          <w:rFonts w:ascii="Gill Sans MT" w:hAnsi="Gill Sans MT"/>
          <w:bCs/>
          <w:szCs w:val="24"/>
        </w:rPr>
        <w:t>a Major Project P</w:t>
      </w:r>
      <w:r w:rsidR="00CF13A3">
        <w:rPr>
          <w:rFonts w:ascii="Gill Sans MT" w:hAnsi="Gill Sans MT"/>
          <w:bCs/>
          <w:szCs w:val="24"/>
        </w:rPr>
        <w:t xml:space="preserve">ermit </w:t>
      </w:r>
      <w:r w:rsidR="00261906">
        <w:rPr>
          <w:rFonts w:ascii="Gill Sans MT" w:hAnsi="Gill Sans MT"/>
          <w:bCs/>
          <w:szCs w:val="24"/>
        </w:rPr>
        <w:t xml:space="preserve">that is </w:t>
      </w:r>
      <w:r w:rsidR="00CF13A3">
        <w:rPr>
          <w:rFonts w:ascii="Gill Sans MT" w:hAnsi="Gill Sans MT"/>
          <w:bCs/>
          <w:szCs w:val="24"/>
        </w:rPr>
        <w:t xml:space="preserve">subject to </w:t>
      </w:r>
      <w:r w:rsidR="00261906">
        <w:rPr>
          <w:rFonts w:ascii="Gill Sans MT" w:hAnsi="Gill Sans MT"/>
          <w:bCs/>
          <w:szCs w:val="24"/>
        </w:rPr>
        <w:t xml:space="preserve">‘in-principle’ </w:t>
      </w:r>
      <w:r w:rsidR="00955AE6">
        <w:rPr>
          <w:rFonts w:ascii="Gill Sans MT" w:hAnsi="Gill Sans MT"/>
          <w:bCs/>
          <w:szCs w:val="24"/>
        </w:rPr>
        <w:t xml:space="preserve">conditions </w:t>
      </w:r>
      <w:r w:rsidR="00384F27">
        <w:rPr>
          <w:rFonts w:ascii="Gill Sans MT" w:hAnsi="Gill Sans MT"/>
          <w:bCs/>
          <w:szCs w:val="24"/>
        </w:rPr>
        <w:t xml:space="preserve">that require </w:t>
      </w:r>
      <w:r w:rsidR="00955AE6">
        <w:rPr>
          <w:rFonts w:ascii="Gill Sans MT" w:hAnsi="Gill Sans MT"/>
          <w:bCs/>
          <w:szCs w:val="24"/>
        </w:rPr>
        <w:t xml:space="preserve">the proponent to provide further </w:t>
      </w:r>
      <w:r w:rsidR="00CF13A3">
        <w:rPr>
          <w:rFonts w:ascii="Gill Sans MT" w:hAnsi="Gill Sans MT"/>
          <w:bCs/>
          <w:szCs w:val="24"/>
        </w:rPr>
        <w:t>document</w:t>
      </w:r>
      <w:r w:rsidR="00955AE6">
        <w:rPr>
          <w:rFonts w:ascii="Gill Sans MT" w:hAnsi="Gill Sans MT"/>
          <w:bCs/>
          <w:szCs w:val="24"/>
        </w:rPr>
        <w:t xml:space="preserve">s for approval </w:t>
      </w:r>
      <w:r w:rsidR="00EF2C8E">
        <w:rPr>
          <w:rFonts w:ascii="Gill Sans MT" w:hAnsi="Gill Sans MT"/>
          <w:bCs/>
          <w:szCs w:val="24"/>
        </w:rPr>
        <w:t>before the permit can commence</w:t>
      </w:r>
      <w:r w:rsidR="00384F27">
        <w:rPr>
          <w:rFonts w:ascii="Gill Sans MT" w:hAnsi="Gill Sans MT"/>
          <w:bCs/>
          <w:szCs w:val="24"/>
        </w:rPr>
        <w:t>.</w:t>
      </w:r>
      <w:r w:rsidR="00CF13A3">
        <w:rPr>
          <w:rFonts w:ascii="Gill Sans MT" w:hAnsi="Gill Sans MT"/>
          <w:bCs/>
          <w:szCs w:val="24"/>
        </w:rPr>
        <w:t xml:space="preserve"> </w:t>
      </w:r>
    </w:p>
    <w:p w14:paraId="387B26B0" w14:textId="046442A9" w:rsidR="00DC51C0" w:rsidRDefault="00026E37" w:rsidP="001C7617">
      <w:pPr>
        <w:spacing w:after="120"/>
        <w:rPr>
          <w:rFonts w:ascii="Gill Sans MT" w:hAnsi="Gill Sans MT"/>
          <w:bCs/>
          <w:szCs w:val="24"/>
        </w:rPr>
      </w:pPr>
      <w:r w:rsidRPr="00A66F83">
        <w:rPr>
          <w:rFonts w:ascii="Gill Sans MT" w:hAnsi="Gill Sans MT"/>
          <w:bCs/>
          <w:szCs w:val="24"/>
        </w:rPr>
        <w:t xml:space="preserve">These </w:t>
      </w:r>
      <w:r w:rsidR="008B3DB6" w:rsidRPr="00A66F83">
        <w:rPr>
          <w:rFonts w:ascii="Gill Sans MT" w:hAnsi="Gill Sans MT"/>
          <w:bCs/>
          <w:szCs w:val="24"/>
        </w:rPr>
        <w:t xml:space="preserve">features </w:t>
      </w:r>
      <w:r w:rsidRPr="00A66F83">
        <w:rPr>
          <w:rFonts w:ascii="Gill Sans MT" w:hAnsi="Gill Sans MT"/>
          <w:bCs/>
          <w:szCs w:val="24"/>
        </w:rPr>
        <w:t xml:space="preserve">combine to </w:t>
      </w:r>
      <w:r w:rsidR="008B3DB6" w:rsidRPr="00A66F83">
        <w:rPr>
          <w:rFonts w:ascii="Gill Sans MT" w:hAnsi="Gill Sans MT"/>
          <w:bCs/>
          <w:szCs w:val="24"/>
        </w:rPr>
        <w:t xml:space="preserve">form a staged approval process that provides earlier and greater certainty to proponents as to whether their project is </w:t>
      </w:r>
      <w:r w:rsidR="006D0D47">
        <w:rPr>
          <w:rFonts w:ascii="Gill Sans MT" w:hAnsi="Gill Sans MT"/>
          <w:bCs/>
          <w:szCs w:val="24"/>
        </w:rPr>
        <w:t>capable of approval and the conditions</w:t>
      </w:r>
      <w:r w:rsidR="009E64ED">
        <w:rPr>
          <w:rFonts w:ascii="Gill Sans MT" w:hAnsi="Gill Sans MT"/>
          <w:bCs/>
          <w:szCs w:val="24"/>
        </w:rPr>
        <w:t xml:space="preserve"> </w:t>
      </w:r>
      <w:r w:rsidR="006D0D47">
        <w:rPr>
          <w:rFonts w:ascii="Gill Sans MT" w:hAnsi="Gill Sans MT"/>
          <w:bCs/>
          <w:szCs w:val="24"/>
        </w:rPr>
        <w:t>that they will be required to meet in order to proceed</w:t>
      </w:r>
      <w:r w:rsidR="00C3780F" w:rsidRPr="00A66F83">
        <w:rPr>
          <w:rFonts w:ascii="Gill Sans MT" w:hAnsi="Gill Sans MT"/>
          <w:bCs/>
          <w:szCs w:val="24"/>
        </w:rPr>
        <w:t>.</w:t>
      </w:r>
      <w:r w:rsidR="008B3DB6" w:rsidRPr="00A66F83">
        <w:rPr>
          <w:rFonts w:ascii="Gill Sans MT" w:hAnsi="Gill Sans MT"/>
          <w:bCs/>
          <w:szCs w:val="24"/>
        </w:rPr>
        <w:t xml:space="preserve"> </w:t>
      </w:r>
    </w:p>
    <w:p w14:paraId="2504FC94" w14:textId="7F8D0898" w:rsidR="006D0D47" w:rsidRDefault="008B3DB6" w:rsidP="001C7617">
      <w:pPr>
        <w:spacing w:after="120"/>
        <w:rPr>
          <w:sz w:val="22"/>
        </w:rPr>
      </w:pPr>
      <w:r w:rsidRPr="009C0EA2">
        <w:rPr>
          <w:rFonts w:ascii="Gill Sans MT" w:hAnsi="Gill Sans MT"/>
          <w:bCs/>
          <w:szCs w:val="24"/>
        </w:rPr>
        <w:t xml:space="preserve">This ensures that proponents </w:t>
      </w:r>
      <w:r w:rsidR="001C7617" w:rsidRPr="009C0EA2">
        <w:rPr>
          <w:rFonts w:ascii="Gill Sans MT" w:hAnsi="Gill Sans MT"/>
          <w:bCs/>
          <w:szCs w:val="24"/>
        </w:rPr>
        <w:t>are provided with greater certainty before they invest in preparing potentially costly surveys, studies and other technical information</w:t>
      </w:r>
      <w:r w:rsidR="001C7617" w:rsidRPr="009C0EA2">
        <w:rPr>
          <w:sz w:val="22"/>
        </w:rPr>
        <w:t xml:space="preserve">. </w:t>
      </w:r>
      <w:r w:rsidR="00E44016" w:rsidRPr="009C0EA2">
        <w:rPr>
          <w:rFonts w:ascii="Gill Sans MT" w:hAnsi="Gill Sans MT"/>
          <w:bCs/>
          <w:szCs w:val="24"/>
        </w:rPr>
        <w:t xml:space="preserve">It </w:t>
      </w:r>
      <w:r w:rsidR="00DC51C0" w:rsidRPr="009C0EA2">
        <w:rPr>
          <w:rFonts w:ascii="Gill Sans MT" w:hAnsi="Gill Sans MT"/>
          <w:bCs/>
          <w:szCs w:val="24"/>
        </w:rPr>
        <w:t xml:space="preserve">also </w:t>
      </w:r>
      <w:r w:rsidR="00DC51C0" w:rsidRPr="009C0EA2">
        <w:rPr>
          <w:rFonts w:ascii="Gill Sans MT" w:hAnsi="Gill Sans MT"/>
          <w:bCs/>
          <w:szCs w:val="24"/>
        </w:rPr>
        <w:t xml:space="preserve">enables participating regulators </w:t>
      </w:r>
      <w:r w:rsidR="00DC51C0" w:rsidRPr="00A66F83">
        <w:rPr>
          <w:rFonts w:ascii="Gill Sans MT" w:hAnsi="Gill Sans MT"/>
          <w:bCs/>
          <w:szCs w:val="24"/>
        </w:rPr>
        <w:t xml:space="preserve">to avoid diverting public resources to assessing projects that have </w:t>
      </w:r>
      <w:r w:rsidR="00DC51C0">
        <w:rPr>
          <w:rFonts w:ascii="Gill Sans MT" w:hAnsi="Gill Sans MT"/>
          <w:bCs/>
          <w:szCs w:val="24"/>
        </w:rPr>
        <w:t>‘</w:t>
      </w:r>
      <w:r w:rsidR="00DC51C0" w:rsidRPr="00A66F83">
        <w:rPr>
          <w:rFonts w:ascii="Gill Sans MT" w:hAnsi="Gill Sans MT"/>
          <w:bCs/>
          <w:szCs w:val="24"/>
        </w:rPr>
        <w:t>no reasonable prospect</w:t>
      </w:r>
      <w:r w:rsidR="00DC51C0">
        <w:rPr>
          <w:rFonts w:ascii="Gill Sans MT" w:hAnsi="Gill Sans MT"/>
          <w:bCs/>
          <w:szCs w:val="24"/>
        </w:rPr>
        <w:t>’</w:t>
      </w:r>
      <w:r w:rsidR="00DC51C0" w:rsidRPr="00A66F83">
        <w:rPr>
          <w:rFonts w:ascii="Gill Sans MT" w:hAnsi="Gill Sans MT"/>
          <w:bCs/>
          <w:szCs w:val="24"/>
        </w:rPr>
        <w:t xml:space="preserve"> of approval.</w:t>
      </w:r>
    </w:p>
    <w:p w14:paraId="4569BDB8" w14:textId="4B9FAD7A" w:rsidR="00655521" w:rsidRPr="00DB298F" w:rsidRDefault="00026E37" w:rsidP="00103611">
      <w:pPr>
        <w:pStyle w:val="Heading2"/>
      </w:pPr>
      <w:r>
        <w:t>‘No reasonable prospect’ test</w:t>
      </w:r>
    </w:p>
    <w:p w14:paraId="0F9DD9DF" w14:textId="18AE4EA3" w:rsidR="002F0413" w:rsidRDefault="002201B8" w:rsidP="00251AE7">
      <w:pPr>
        <w:spacing w:after="120"/>
        <w:rPr>
          <w:rFonts w:ascii="Gill Sans MT" w:hAnsi="Gill Sans MT"/>
          <w:bCs/>
          <w:szCs w:val="24"/>
        </w:rPr>
      </w:pPr>
      <w:r>
        <w:rPr>
          <w:rFonts w:ascii="Gill Sans MT" w:hAnsi="Gill Sans MT"/>
          <w:bCs/>
          <w:szCs w:val="24"/>
        </w:rPr>
        <w:t xml:space="preserve">Following declaration of the project as a major project, the Tasmanian Planning Commission </w:t>
      </w:r>
      <w:r w:rsidR="00BD5B23">
        <w:rPr>
          <w:rFonts w:ascii="Gill Sans MT" w:hAnsi="Gill Sans MT"/>
          <w:bCs/>
          <w:szCs w:val="24"/>
        </w:rPr>
        <w:t xml:space="preserve">(the Commission) </w:t>
      </w:r>
      <w:r w:rsidR="002F0413">
        <w:rPr>
          <w:rFonts w:ascii="Gill Sans MT" w:hAnsi="Gill Sans MT"/>
          <w:bCs/>
          <w:szCs w:val="24"/>
        </w:rPr>
        <w:t>establishes</w:t>
      </w:r>
      <w:r w:rsidR="001960B2">
        <w:rPr>
          <w:rFonts w:ascii="Gill Sans MT" w:hAnsi="Gill Sans MT"/>
          <w:bCs/>
          <w:szCs w:val="24"/>
        </w:rPr>
        <w:t xml:space="preserve"> a Development Assessment Panel (the Panel) </w:t>
      </w:r>
      <w:r w:rsidR="002F0413">
        <w:rPr>
          <w:rFonts w:ascii="Gill Sans MT" w:hAnsi="Gill Sans MT"/>
          <w:bCs/>
          <w:szCs w:val="24"/>
        </w:rPr>
        <w:t xml:space="preserve">to assess the proponent’s Major Project Proposal. The Commission </w:t>
      </w:r>
      <w:r>
        <w:rPr>
          <w:rFonts w:ascii="Gill Sans MT" w:hAnsi="Gill Sans MT"/>
          <w:bCs/>
          <w:szCs w:val="24"/>
        </w:rPr>
        <w:t xml:space="preserve">refers the </w:t>
      </w:r>
      <w:r w:rsidR="002F0413">
        <w:rPr>
          <w:rFonts w:ascii="Gill Sans MT" w:hAnsi="Gill Sans MT"/>
          <w:bCs/>
          <w:szCs w:val="24"/>
        </w:rPr>
        <w:t>major p</w:t>
      </w:r>
      <w:r>
        <w:rPr>
          <w:rFonts w:ascii="Gill Sans MT" w:hAnsi="Gill Sans MT"/>
          <w:bCs/>
          <w:szCs w:val="24"/>
        </w:rPr>
        <w:t xml:space="preserve">roject </w:t>
      </w:r>
      <w:r w:rsidR="002F0413">
        <w:rPr>
          <w:rFonts w:ascii="Gill Sans MT" w:hAnsi="Gill Sans MT"/>
          <w:bCs/>
          <w:szCs w:val="24"/>
        </w:rPr>
        <w:t>documentation</w:t>
      </w:r>
      <w:r>
        <w:rPr>
          <w:rFonts w:ascii="Gill Sans MT" w:hAnsi="Gill Sans MT"/>
          <w:bCs/>
          <w:szCs w:val="24"/>
        </w:rPr>
        <w:t xml:space="preserve"> </w:t>
      </w:r>
      <w:r w:rsidR="00E645FB">
        <w:rPr>
          <w:rFonts w:ascii="Gill Sans MT" w:hAnsi="Gill Sans MT"/>
          <w:bCs/>
          <w:szCs w:val="24"/>
        </w:rPr>
        <w:t xml:space="preserve">and any other information obtained from the proponent or a planning authority </w:t>
      </w:r>
      <w:r>
        <w:rPr>
          <w:rFonts w:ascii="Gill Sans MT" w:hAnsi="Gill Sans MT"/>
          <w:bCs/>
          <w:szCs w:val="24"/>
        </w:rPr>
        <w:t>to</w:t>
      </w:r>
      <w:r w:rsidR="001960B2">
        <w:rPr>
          <w:rFonts w:ascii="Gill Sans MT" w:hAnsi="Gill Sans MT"/>
          <w:bCs/>
          <w:szCs w:val="24"/>
        </w:rPr>
        <w:t xml:space="preserve"> the Panel and</w:t>
      </w:r>
      <w:r>
        <w:rPr>
          <w:rFonts w:ascii="Gill Sans MT" w:hAnsi="Gill Sans MT"/>
          <w:bCs/>
          <w:szCs w:val="24"/>
        </w:rPr>
        <w:t xml:space="preserve"> relevant regulators. </w:t>
      </w:r>
    </w:p>
    <w:p w14:paraId="720B781D" w14:textId="5FAE2AB3" w:rsidR="00D74A35" w:rsidRPr="00D74A35" w:rsidRDefault="00D74A35" w:rsidP="00D74A35">
      <w:pPr>
        <w:pStyle w:val="Default"/>
        <w:spacing w:before="240" w:after="120" w:line="276" w:lineRule="auto"/>
        <w:rPr>
          <w:rFonts w:cs="Times New Roman"/>
          <w:bCs/>
          <w:color w:val="auto"/>
          <w:lang w:eastAsia="en-US"/>
        </w:rPr>
      </w:pPr>
      <w:r>
        <w:rPr>
          <w:rFonts w:cs="Times New Roman"/>
          <w:bCs/>
          <w:color w:val="auto"/>
          <w:lang w:eastAsia="en-US"/>
        </w:rPr>
        <w:t>At this stage,</w:t>
      </w:r>
      <w:r w:rsidRPr="009D7246">
        <w:rPr>
          <w:rFonts w:cs="Times New Roman"/>
          <w:bCs/>
          <w:color w:val="auto"/>
          <w:lang w:eastAsia="en-US"/>
        </w:rPr>
        <w:t xml:space="preserve"> each relevant regulator is required to advise the Panel on whether it intends to conduct an assessment of the major project. A</w:t>
      </w:r>
      <w:r w:rsidRPr="009D7246">
        <w:rPr>
          <w:color w:val="auto"/>
          <w:sz w:val="22"/>
          <w:szCs w:val="22"/>
        </w:rPr>
        <w:t xml:space="preserve"> </w:t>
      </w:r>
      <w:r w:rsidRPr="009D7246">
        <w:rPr>
          <w:rFonts w:cs="Times New Roman"/>
          <w:bCs/>
          <w:color w:val="auto"/>
          <w:lang w:eastAsia="en-US"/>
        </w:rPr>
        <w:t xml:space="preserve">regulator that indicates it intends to assess the project becomes a participating regulator (see Fact Sheet 3). </w:t>
      </w:r>
    </w:p>
    <w:p w14:paraId="04A01144" w14:textId="6C3708B5" w:rsidR="00BE7181" w:rsidRDefault="008711B6" w:rsidP="00251AE7">
      <w:pPr>
        <w:spacing w:after="120"/>
        <w:rPr>
          <w:rFonts w:ascii="Gill Sans MT" w:hAnsi="Gill Sans MT"/>
          <w:bCs/>
          <w:szCs w:val="24"/>
        </w:rPr>
      </w:pPr>
      <w:r>
        <w:rPr>
          <w:rFonts w:ascii="Gill Sans MT" w:hAnsi="Gill Sans MT"/>
          <w:bCs/>
          <w:szCs w:val="24"/>
        </w:rPr>
        <w:t>For relevant regulators that opt to become</w:t>
      </w:r>
      <w:r w:rsidR="00E645FB">
        <w:rPr>
          <w:rFonts w:ascii="Gill Sans MT" w:hAnsi="Gill Sans MT"/>
          <w:bCs/>
          <w:szCs w:val="24"/>
        </w:rPr>
        <w:t xml:space="preserve"> </w:t>
      </w:r>
      <w:r w:rsidR="009C0EA2">
        <w:rPr>
          <w:rFonts w:ascii="Gill Sans MT" w:hAnsi="Gill Sans MT"/>
          <w:bCs/>
          <w:szCs w:val="24"/>
        </w:rPr>
        <w:t xml:space="preserve">participating </w:t>
      </w:r>
      <w:r w:rsidR="00E645FB">
        <w:rPr>
          <w:rFonts w:ascii="Gill Sans MT" w:hAnsi="Gill Sans MT"/>
          <w:bCs/>
          <w:szCs w:val="24"/>
        </w:rPr>
        <w:t>regulator</w:t>
      </w:r>
      <w:r>
        <w:rPr>
          <w:rFonts w:ascii="Gill Sans MT" w:hAnsi="Gill Sans MT"/>
          <w:bCs/>
          <w:szCs w:val="24"/>
        </w:rPr>
        <w:t>s</w:t>
      </w:r>
      <w:r w:rsidR="001B124A">
        <w:rPr>
          <w:rFonts w:ascii="Gill Sans MT" w:hAnsi="Gill Sans MT"/>
          <w:bCs/>
          <w:szCs w:val="24"/>
        </w:rPr>
        <w:t xml:space="preserve"> in the major projects assessment process</w:t>
      </w:r>
      <w:r>
        <w:rPr>
          <w:rFonts w:ascii="Gill Sans MT" w:hAnsi="Gill Sans MT"/>
          <w:bCs/>
          <w:szCs w:val="24"/>
        </w:rPr>
        <w:t>, they</w:t>
      </w:r>
      <w:r w:rsidR="00E645FB">
        <w:rPr>
          <w:rFonts w:ascii="Gill Sans MT" w:hAnsi="Gill Sans MT"/>
          <w:bCs/>
          <w:szCs w:val="24"/>
        </w:rPr>
        <w:t xml:space="preserve"> </w:t>
      </w:r>
      <w:r>
        <w:rPr>
          <w:rFonts w:ascii="Gill Sans MT" w:hAnsi="Gill Sans MT"/>
          <w:bCs/>
          <w:szCs w:val="24"/>
        </w:rPr>
        <w:t>have</w:t>
      </w:r>
      <w:r w:rsidR="00E645FB">
        <w:rPr>
          <w:rFonts w:ascii="Gill Sans MT" w:hAnsi="Gill Sans MT"/>
          <w:bCs/>
          <w:szCs w:val="24"/>
        </w:rPr>
        <w:t xml:space="preserve"> 60 days to </w:t>
      </w:r>
      <w:r w:rsidR="00DC191D">
        <w:rPr>
          <w:rFonts w:ascii="Gill Sans MT" w:hAnsi="Gill Sans MT"/>
          <w:bCs/>
          <w:szCs w:val="24"/>
        </w:rPr>
        <w:t>request</w:t>
      </w:r>
      <w:r w:rsidR="00E645FB">
        <w:rPr>
          <w:rFonts w:ascii="Gill Sans MT" w:hAnsi="Gill Sans MT"/>
          <w:bCs/>
          <w:szCs w:val="24"/>
        </w:rPr>
        <w:t xml:space="preserve"> the Panel </w:t>
      </w:r>
      <w:r w:rsidR="00DC191D">
        <w:rPr>
          <w:rFonts w:ascii="Gill Sans MT" w:hAnsi="Gill Sans MT"/>
          <w:bCs/>
          <w:szCs w:val="24"/>
        </w:rPr>
        <w:t xml:space="preserve">to recommend that the </w:t>
      </w:r>
      <w:r w:rsidR="00A96396" w:rsidRPr="001234DA">
        <w:rPr>
          <w:rFonts w:ascii="Gill Sans MT" w:hAnsi="Gill Sans MT"/>
          <w:bCs/>
          <w:szCs w:val="24"/>
        </w:rPr>
        <w:t xml:space="preserve">Minister </w:t>
      </w:r>
      <w:r w:rsidR="00A96396">
        <w:rPr>
          <w:rFonts w:ascii="Gill Sans MT" w:hAnsi="Gill Sans MT"/>
          <w:bCs/>
          <w:szCs w:val="24"/>
        </w:rPr>
        <w:t xml:space="preserve">for </w:t>
      </w:r>
      <w:r w:rsidR="00A96396" w:rsidRPr="00D31538">
        <w:rPr>
          <w:rFonts w:ascii="Gill Sans MT" w:hAnsi="Gill Sans MT"/>
          <w:bCs/>
          <w:szCs w:val="24"/>
        </w:rPr>
        <w:t>Planning and Local Government</w:t>
      </w:r>
      <w:r w:rsidR="00A96396">
        <w:rPr>
          <w:rFonts w:ascii="Gill Sans MT" w:hAnsi="Gill Sans MT"/>
          <w:bCs/>
          <w:szCs w:val="24"/>
        </w:rPr>
        <w:t xml:space="preserve"> </w:t>
      </w:r>
      <w:r w:rsidR="00DC191D">
        <w:rPr>
          <w:rFonts w:ascii="Gill Sans MT" w:hAnsi="Gill Sans MT"/>
          <w:bCs/>
          <w:szCs w:val="24"/>
        </w:rPr>
        <w:t xml:space="preserve">revoke the major project declaration where the regulator </w:t>
      </w:r>
      <w:r w:rsidR="00E645FB">
        <w:rPr>
          <w:rFonts w:ascii="Gill Sans MT" w:hAnsi="Gill Sans MT"/>
          <w:bCs/>
          <w:szCs w:val="24"/>
        </w:rPr>
        <w:t xml:space="preserve">considers that there is </w:t>
      </w:r>
      <w:r w:rsidR="00B44066">
        <w:rPr>
          <w:rFonts w:ascii="Gill Sans MT" w:hAnsi="Gill Sans MT"/>
          <w:bCs/>
          <w:szCs w:val="24"/>
        </w:rPr>
        <w:t>‘</w:t>
      </w:r>
      <w:r w:rsidR="00E645FB">
        <w:rPr>
          <w:rFonts w:ascii="Gill Sans MT" w:hAnsi="Gill Sans MT"/>
          <w:bCs/>
          <w:szCs w:val="24"/>
        </w:rPr>
        <w:t>no reasonable prospect</w:t>
      </w:r>
      <w:r w:rsidR="00B44066">
        <w:rPr>
          <w:rFonts w:ascii="Gill Sans MT" w:hAnsi="Gill Sans MT"/>
          <w:bCs/>
          <w:szCs w:val="24"/>
        </w:rPr>
        <w:t>’</w:t>
      </w:r>
      <w:r w:rsidR="00E645FB">
        <w:rPr>
          <w:rFonts w:ascii="Gill Sans MT" w:hAnsi="Gill Sans MT"/>
          <w:bCs/>
          <w:szCs w:val="24"/>
        </w:rPr>
        <w:t xml:space="preserve"> that the </w:t>
      </w:r>
      <w:r w:rsidR="00BE7181">
        <w:rPr>
          <w:rFonts w:ascii="Gill Sans MT" w:hAnsi="Gill Sans MT"/>
          <w:bCs/>
          <w:szCs w:val="24"/>
        </w:rPr>
        <w:t xml:space="preserve">project can be </w:t>
      </w:r>
      <w:r w:rsidR="00BE7181">
        <w:rPr>
          <w:rFonts w:ascii="Gill Sans MT" w:hAnsi="Gill Sans MT"/>
          <w:bCs/>
          <w:szCs w:val="24"/>
        </w:rPr>
        <w:lastRenderedPageBreak/>
        <w:t>approved.</w:t>
      </w:r>
      <w:r w:rsidR="00DC51C0">
        <w:rPr>
          <w:rFonts w:ascii="Gill Sans MT" w:hAnsi="Gill Sans MT"/>
          <w:bCs/>
          <w:szCs w:val="24"/>
        </w:rPr>
        <w:t xml:space="preserve"> The Panel may also make this recommendation of its own initiative.</w:t>
      </w:r>
    </w:p>
    <w:p w14:paraId="0BC313E1" w14:textId="5448D6A6" w:rsidR="00DC191D" w:rsidRDefault="00193A96" w:rsidP="00251AE7">
      <w:pPr>
        <w:spacing w:after="120"/>
        <w:rPr>
          <w:rFonts w:ascii="Gill Sans MT" w:hAnsi="Gill Sans MT"/>
          <w:bCs/>
          <w:szCs w:val="24"/>
        </w:rPr>
      </w:pPr>
      <w:r>
        <w:rPr>
          <w:rFonts w:ascii="Gill Sans MT" w:hAnsi="Gill Sans MT"/>
          <w:bCs/>
          <w:szCs w:val="24"/>
        </w:rPr>
        <w:t xml:space="preserve">Where the Panel </w:t>
      </w:r>
      <w:r w:rsidR="00DC51C0">
        <w:rPr>
          <w:rFonts w:ascii="Gill Sans MT" w:hAnsi="Gill Sans MT"/>
          <w:bCs/>
          <w:szCs w:val="24"/>
        </w:rPr>
        <w:t>intends to issue</w:t>
      </w:r>
      <w:r>
        <w:rPr>
          <w:rFonts w:ascii="Gill Sans MT" w:hAnsi="Gill Sans MT"/>
          <w:bCs/>
          <w:szCs w:val="24"/>
        </w:rPr>
        <w:t xml:space="preserve"> a </w:t>
      </w:r>
      <w:r w:rsidR="004808FF">
        <w:rPr>
          <w:rFonts w:ascii="Gill Sans MT" w:hAnsi="Gill Sans MT"/>
          <w:bCs/>
          <w:szCs w:val="24"/>
        </w:rPr>
        <w:t>‘</w:t>
      </w:r>
      <w:r>
        <w:rPr>
          <w:rFonts w:ascii="Gill Sans MT" w:hAnsi="Gill Sans MT"/>
          <w:bCs/>
          <w:szCs w:val="24"/>
        </w:rPr>
        <w:t>no reasonable prospect</w:t>
      </w:r>
      <w:r w:rsidR="004808FF">
        <w:rPr>
          <w:rFonts w:ascii="Gill Sans MT" w:hAnsi="Gill Sans MT"/>
          <w:bCs/>
          <w:szCs w:val="24"/>
        </w:rPr>
        <w:t>’</w:t>
      </w:r>
      <w:r>
        <w:rPr>
          <w:rFonts w:ascii="Gill Sans MT" w:hAnsi="Gill Sans MT"/>
          <w:bCs/>
          <w:szCs w:val="24"/>
        </w:rPr>
        <w:t xml:space="preserve"> notice </w:t>
      </w:r>
      <w:r w:rsidR="00DC51C0">
        <w:rPr>
          <w:rFonts w:ascii="Gill Sans MT" w:hAnsi="Gill Sans MT"/>
          <w:bCs/>
          <w:szCs w:val="24"/>
        </w:rPr>
        <w:t>to the Minister</w:t>
      </w:r>
      <w:r>
        <w:rPr>
          <w:rFonts w:ascii="Gill Sans MT" w:hAnsi="Gill Sans MT"/>
          <w:bCs/>
          <w:szCs w:val="24"/>
        </w:rPr>
        <w:t xml:space="preserve">, </w:t>
      </w:r>
      <w:r w:rsidR="00C87760">
        <w:rPr>
          <w:rFonts w:ascii="Gill Sans MT" w:hAnsi="Gill Sans MT"/>
          <w:bCs/>
          <w:szCs w:val="24"/>
        </w:rPr>
        <w:t xml:space="preserve">the </w:t>
      </w:r>
      <w:r w:rsidR="002441E0">
        <w:rPr>
          <w:rFonts w:ascii="Gill Sans MT" w:hAnsi="Gill Sans MT"/>
          <w:bCs/>
          <w:szCs w:val="24"/>
        </w:rPr>
        <w:t xml:space="preserve">draft </w:t>
      </w:r>
      <w:r w:rsidR="00C87760">
        <w:rPr>
          <w:rFonts w:ascii="Gill Sans MT" w:hAnsi="Gill Sans MT"/>
          <w:bCs/>
          <w:szCs w:val="24"/>
        </w:rPr>
        <w:t>Bill includes a process for the proponent to be given a right of reply</w:t>
      </w:r>
      <w:r w:rsidR="00DC191D">
        <w:rPr>
          <w:rFonts w:ascii="Gill Sans MT" w:hAnsi="Gill Sans MT"/>
          <w:bCs/>
          <w:szCs w:val="24"/>
        </w:rPr>
        <w:t xml:space="preserve">. This includes </w:t>
      </w:r>
      <w:r w:rsidR="00C87760">
        <w:rPr>
          <w:rFonts w:ascii="Gill Sans MT" w:hAnsi="Gill Sans MT"/>
          <w:bCs/>
          <w:szCs w:val="24"/>
        </w:rPr>
        <w:t xml:space="preserve">the ability for </w:t>
      </w:r>
      <w:r w:rsidR="00DC191D">
        <w:rPr>
          <w:rFonts w:ascii="Gill Sans MT" w:hAnsi="Gill Sans MT"/>
          <w:bCs/>
          <w:szCs w:val="24"/>
        </w:rPr>
        <w:t>the proponent to provide further information</w:t>
      </w:r>
      <w:r w:rsidR="009A3F6F">
        <w:rPr>
          <w:rFonts w:ascii="Gill Sans MT" w:hAnsi="Gill Sans MT"/>
          <w:bCs/>
          <w:szCs w:val="24"/>
        </w:rPr>
        <w:t xml:space="preserve">, </w:t>
      </w:r>
      <w:r w:rsidR="00DC191D">
        <w:rPr>
          <w:rFonts w:ascii="Gill Sans MT" w:hAnsi="Gill Sans MT"/>
          <w:bCs/>
          <w:szCs w:val="24"/>
        </w:rPr>
        <w:t xml:space="preserve">amend its </w:t>
      </w:r>
      <w:r w:rsidR="00CD20B6">
        <w:rPr>
          <w:rFonts w:ascii="Gill Sans MT" w:hAnsi="Gill Sans MT"/>
          <w:bCs/>
          <w:szCs w:val="24"/>
        </w:rPr>
        <w:t xml:space="preserve">Major Project Proposal </w:t>
      </w:r>
      <w:r w:rsidR="009A3F6F">
        <w:rPr>
          <w:rFonts w:ascii="Gill Sans MT" w:hAnsi="Gill Sans MT"/>
          <w:bCs/>
          <w:szCs w:val="24"/>
        </w:rPr>
        <w:t>or request that the Minister revoke the declaration</w:t>
      </w:r>
      <w:r w:rsidR="00DC191D">
        <w:rPr>
          <w:rFonts w:ascii="Gill Sans MT" w:hAnsi="Gill Sans MT"/>
          <w:bCs/>
          <w:szCs w:val="24"/>
        </w:rPr>
        <w:t xml:space="preserve">. This information is provided to </w:t>
      </w:r>
      <w:r w:rsidR="00D115AC">
        <w:rPr>
          <w:rFonts w:ascii="Gill Sans MT" w:hAnsi="Gill Sans MT"/>
          <w:bCs/>
          <w:szCs w:val="24"/>
        </w:rPr>
        <w:t xml:space="preserve">participating </w:t>
      </w:r>
      <w:r w:rsidR="00003769">
        <w:rPr>
          <w:rFonts w:ascii="Gill Sans MT" w:hAnsi="Gill Sans MT"/>
          <w:bCs/>
          <w:szCs w:val="24"/>
        </w:rPr>
        <w:t xml:space="preserve">regulators, </w:t>
      </w:r>
      <w:r w:rsidR="00750533">
        <w:rPr>
          <w:rFonts w:ascii="Gill Sans MT" w:hAnsi="Gill Sans MT"/>
          <w:bCs/>
          <w:szCs w:val="24"/>
        </w:rPr>
        <w:t>who</w:t>
      </w:r>
      <w:r w:rsidR="00DC191D">
        <w:rPr>
          <w:rFonts w:ascii="Gill Sans MT" w:hAnsi="Gill Sans MT"/>
          <w:bCs/>
          <w:szCs w:val="24"/>
        </w:rPr>
        <w:t xml:space="preserve"> </w:t>
      </w:r>
      <w:r w:rsidR="009B5BCB">
        <w:rPr>
          <w:rFonts w:ascii="Gill Sans MT" w:hAnsi="Gill Sans MT"/>
          <w:bCs/>
          <w:szCs w:val="24"/>
        </w:rPr>
        <w:t>can</w:t>
      </w:r>
      <w:r w:rsidR="00DC191D">
        <w:rPr>
          <w:rFonts w:ascii="Gill Sans MT" w:hAnsi="Gill Sans MT"/>
          <w:bCs/>
          <w:szCs w:val="24"/>
        </w:rPr>
        <w:t xml:space="preserve"> amend </w:t>
      </w:r>
      <w:r w:rsidR="009E64ED">
        <w:rPr>
          <w:rFonts w:ascii="Gill Sans MT" w:hAnsi="Gill Sans MT"/>
          <w:bCs/>
          <w:szCs w:val="24"/>
        </w:rPr>
        <w:t>their advice to the Panel</w:t>
      </w:r>
      <w:r w:rsidR="00894E65">
        <w:rPr>
          <w:rFonts w:ascii="Gill Sans MT" w:hAnsi="Gill Sans MT"/>
          <w:bCs/>
          <w:szCs w:val="24"/>
        </w:rPr>
        <w:t xml:space="preserve"> (see </w:t>
      </w:r>
      <w:r w:rsidR="00194F2E">
        <w:rPr>
          <w:rFonts w:ascii="Gill Sans MT" w:hAnsi="Gill Sans MT"/>
          <w:bCs/>
          <w:szCs w:val="24"/>
        </w:rPr>
        <w:t>Fact Sheet 3)</w:t>
      </w:r>
      <w:r w:rsidR="009E64ED">
        <w:rPr>
          <w:rFonts w:ascii="Gill Sans MT" w:hAnsi="Gill Sans MT"/>
          <w:bCs/>
          <w:szCs w:val="24"/>
        </w:rPr>
        <w:t>.</w:t>
      </w:r>
    </w:p>
    <w:p w14:paraId="65D57DEB" w14:textId="3152DA9C" w:rsidR="00DA2E8F" w:rsidRDefault="00DC191D" w:rsidP="00251AE7">
      <w:pPr>
        <w:spacing w:after="120"/>
        <w:rPr>
          <w:rFonts w:ascii="Gill Sans MT" w:hAnsi="Gill Sans MT"/>
          <w:bCs/>
          <w:szCs w:val="24"/>
        </w:rPr>
      </w:pPr>
      <w:r>
        <w:rPr>
          <w:rFonts w:ascii="Gill Sans MT" w:hAnsi="Gill Sans MT"/>
          <w:bCs/>
          <w:szCs w:val="24"/>
        </w:rPr>
        <w:t xml:space="preserve">Where the </w:t>
      </w:r>
      <w:r w:rsidR="00003769">
        <w:rPr>
          <w:rFonts w:ascii="Gill Sans MT" w:hAnsi="Gill Sans MT"/>
          <w:bCs/>
          <w:szCs w:val="24"/>
        </w:rPr>
        <w:t>advice remains unchanged, the Panel recommends that the Minister revoke the declaration and the Minister may act accordingly.</w:t>
      </w:r>
    </w:p>
    <w:p w14:paraId="4EE4E40E" w14:textId="2AC3F869" w:rsidR="003F26EB" w:rsidRPr="00DB298F" w:rsidRDefault="002201B8" w:rsidP="006F16B5">
      <w:pPr>
        <w:pStyle w:val="Heading2"/>
      </w:pPr>
      <w:r>
        <w:t xml:space="preserve">In-principle </w:t>
      </w:r>
      <w:r w:rsidR="006F16B5" w:rsidRPr="006F16B5">
        <w:t>permit commencement conditions</w:t>
      </w:r>
    </w:p>
    <w:p w14:paraId="4FCEDF19" w14:textId="1CCA2650" w:rsidR="005A4547" w:rsidRDefault="00640E26" w:rsidP="00AC6326">
      <w:pPr>
        <w:spacing w:after="120"/>
        <w:rPr>
          <w:rFonts w:ascii="Gill Sans MT" w:hAnsi="Gill Sans MT"/>
          <w:bCs/>
          <w:szCs w:val="24"/>
        </w:rPr>
      </w:pPr>
      <w:r w:rsidRPr="00472EDE">
        <w:rPr>
          <w:rFonts w:ascii="Gill Sans MT" w:hAnsi="Gill Sans MT"/>
          <w:bCs/>
          <w:szCs w:val="24"/>
        </w:rPr>
        <w:t xml:space="preserve">The </w:t>
      </w:r>
      <w:r w:rsidR="001714B2" w:rsidRPr="00472EDE">
        <w:rPr>
          <w:rFonts w:ascii="Gill Sans MT" w:hAnsi="Gill Sans MT"/>
          <w:bCs/>
          <w:szCs w:val="24"/>
        </w:rPr>
        <w:t>major projects</w:t>
      </w:r>
      <w:r w:rsidR="00B44066">
        <w:rPr>
          <w:rFonts w:ascii="Gill Sans MT" w:hAnsi="Gill Sans MT"/>
          <w:bCs/>
          <w:szCs w:val="24"/>
        </w:rPr>
        <w:t xml:space="preserve"> assessment process provides for </w:t>
      </w:r>
      <w:r w:rsidR="001714B2" w:rsidRPr="00472EDE">
        <w:rPr>
          <w:rFonts w:ascii="Gill Sans MT" w:hAnsi="Gill Sans MT"/>
          <w:bCs/>
          <w:szCs w:val="24"/>
        </w:rPr>
        <w:t>i</w:t>
      </w:r>
      <w:r w:rsidR="00B44066">
        <w:rPr>
          <w:rFonts w:ascii="Gill Sans MT" w:hAnsi="Gill Sans MT"/>
          <w:bCs/>
          <w:szCs w:val="24"/>
        </w:rPr>
        <w:t>n-principle</w:t>
      </w:r>
      <w:r w:rsidR="001714B2" w:rsidRPr="00472EDE">
        <w:rPr>
          <w:rFonts w:ascii="Gill Sans MT" w:hAnsi="Gill Sans MT"/>
          <w:bCs/>
          <w:szCs w:val="24"/>
        </w:rPr>
        <w:t xml:space="preserve"> </w:t>
      </w:r>
      <w:r w:rsidR="006F16B5" w:rsidRPr="006F16B5">
        <w:rPr>
          <w:rFonts w:ascii="Gill Sans MT" w:hAnsi="Gill Sans MT"/>
          <w:bCs/>
          <w:szCs w:val="24"/>
        </w:rPr>
        <w:t>permit commencement conditions</w:t>
      </w:r>
      <w:r w:rsidR="00F373A8">
        <w:rPr>
          <w:rFonts w:ascii="Gill Sans MT" w:hAnsi="Gill Sans MT"/>
          <w:bCs/>
          <w:szCs w:val="24"/>
        </w:rPr>
        <w:t xml:space="preserve"> (IPPCCs)</w:t>
      </w:r>
      <w:r w:rsidR="006F16B5" w:rsidRPr="006F16B5">
        <w:rPr>
          <w:rFonts w:ascii="Gill Sans MT" w:hAnsi="Gill Sans MT"/>
          <w:bCs/>
          <w:szCs w:val="24"/>
        </w:rPr>
        <w:t xml:space="preserve"> </w:t>
      </w:r>
      <w:r w:rsidR="006F16B5">
        <w:rPr>
          <w:rFonts w:ascii="Gill Sans MT" w:hAnsi="Gill Sans MT"/>
          <w:bCs/>
          <w:szCs w:val="24"/>
        </w:rPr>
        <w:t>for</w:t>
      </w:r>
      <w:r w:rsidR="001714B2" w:rsidRPr="00472EDE">
        <w:rPr>
          <w:rFonts w:ascii="Gill Sans MT" w:hAnsi="Gill Sans MT"/>
          <w:bCs/>
          <w:szCs w:val="24"/>
        </w:rPr>
        <w:t xml:space="preserve"> a </w:t>
      </w:r>
      <w:r w:rsidR="002B49F5">
        <w:rPr>
          <w:rFonts w:ascii="Gill Sans MT" w:hAnsi="Gill Sans MT"/>
          <w:bCs/>
          <w:szCs w:val="24"/>
        </w:rPr>
        <w:t xml:space="preserve">major </w:t>
      </w:r>
      <w:r w:rsidR="001714B2" w:rsidRPr="00472EDE">
        <w:rPr>
          <w:rFonts w:ascii="Gill Sans MT" w:hAnsi="Gill Sans MT"/>
          <w:bCs/>
          <w:szCs w:val="24"/>
        </w:rPr>
        <w:t>project</w:t>
      </w:r>
      <w:r w:rsidR="00F1212D" w:rsidRPr="00664D80">
        <w:rPr>
          <w:rFonts w:ascii="Gill Sans MT" w:hAnsi="Gill Sans MT"/>
          <w:bCs/>
          <w:szCs w:val="24"/>
        </w:rPr>
        <w:t xml:space="preserve">. </w:t>
      </w:r>
      <w:r w:rsidR="00B708FE">
        <w:rPr>
          <w:rFonts w:ascii="Gill Sans MT" w:hAnsi="Gill Sans MT"/>
          <w:bCs/>
          <w:szCs w:val="24"/>
        </w:rPr>
        <w:t>This</w:t>
      </w:r>
      <w:r w:rsidR="00762CF6">
        <w:rPr>
          <w:rFonts w:ascii="Gill Sans MT" w:hAnsi="Gill Sans MT"/>
          <w:bCs/>
          <w:szCs w:val="24"/>
        </w:rPr>
        <w:t xml:space="preserve"> occurs through the Panel granting a Major Project P</w:t>
      </w:r>
      <w:r w:rsidR="00B708FE">
        <w:rPr>
          <w:rFonts w:ascii="Gill Sans MT" w:hAnsi="Gill Sans MT"/>
          <w:bCs/>
          <w:szCs w:val="24"/>
        </w:rPr>
        <w:t xml:space="preserve">ermit subject to a condition </w:t>
      </w:r>
      <w:r w:rsidR="00762CF6">
        <w:rPr>
          <w:rFonts w:ascii="Gill Sans MT" w:hAnsi="Gill Sans MT"/>
          <w:bCs/>
          <w:szCs w:val="24"/>
        </w:rPr>
        <w:t xml:space="preserve">(or conditions) </w:t>
      </w:r>
      <w:r w:rsidR="00B708FE">
        <w:rPr>
          <w:rFonts w:ascii="Gill Sans MT" w:hAnsi="Gill Sans MT"/>
          <w:bCs/>
          <w:szCs w:val="24"/>
        </w:rPr>
        <w:t xml:space="preserve">that requires the proponent to provide further information to a participating regulator </w:t>
      </w:r>
      <w:r w:rsidR="00E01F09">
        <w:rPr>
          <w:rFonts w:ascii="Gill Sans MT" w:hAnsi="Gill Sans MT"/>
          <w:bCs/>
          <w:szCs w:val="24"/>
        </w:rPr>
        <w:t xml:space="preserve">or the Panel </w:t>
      </w:r>
      <w:r w:rsidR="00B708FE">
        <w:rPr>
          <w:rFonts w:ascii="Gill Sans MT" w:hAnsi="Gill Sans MT"/>
          <w:bCs/>
          <w:szCs w:val="24"/>
        </w:rPr>
        <w:t>for approval befo</w:t>
      </w:r>
      <w:r w:rsidR="00B708FE" w:rsidRPr="009D7246">
        <w:rPr>
          <w:rFonts w:ascii="Gill Sans MT" w:hAnsi="Gill Sans MT"/>
          <w:bCs/>
          <w:szCs w:val="24"/>
        </w:rPr>
        <w:t xml:space="preserve">re the permit can commence. </w:t>
      </w:r>
    </w:p>
    <w:p w14:paraId="0E0517FB" w14:textId="07E743D5" w:rsidR="002B49F5" w:rsidRDefault="00AF1D2A" w:rsidP="00AC6326">
      <w:pPr>
        <w:spacing w:after="120"/>
        <w:rPr>
          <w:rFonts w:ascii="Gill Sans MT" w:hAnsi="Gill Sans MT"/>
          <w:bCs/>
          <w:szCs w:val="24"/>
        </w:rPr>
      </w:pPr>
      <w:r w:rsidRPr="009D7246">
        <w:rPr>
          <w:rFonts w:ascii="Gill Sans MT" w:hAnsi="Gill Sans MT"/>
          <w:bCs/>
          <w:szCs w:val="24"/>
        </w:rPr>
        <w:t xml:space="preserve">This approach will give proponents greater confidence that their project has met the key issues that are required to be addressed in order to obtain approval before they invest in preparing detailed documentation for issues </w:t>
      </w:r>
      <w:r w:rsidR="00DC51C0" w:rsidRPr="009D7246">
        <w:rPr>
          <w:rFonts w:ascii="Gill Sans MT" w:hAnsi="Gill Sans MT"/>
          <w:bCs/>
          <w:szCs w:val="24"/>
        </w:rPr>
        <w:t xml:space="preserve">of a routine or technical nature </w:t>
      </w:r>
      <w:r w:rsidRPr="009D7246">
        <w:rPr>
          <w:rFonts w:ascii="Gill Sans MT" w:hAnsi="Gill Sans MT"/>
          <w:bCs/>
          <w:szCs w:val="24"/>
        </w:rPr>
        <w:t xml:space="preserve">that they would be reasonably expected to satisfy. These issues may vary between </w:t>
      </w:r>
      <w:r w:rsidRPr="009D7246">
        <w:rPr>
          <w:rFonts w:ascii="Gill Sans MT" w:hAnsi="Gill Sans MT"/>
          <w:bCs/>
          <w:szCs w:val="24"/>
        </w:rPr>
        <w:t>projects, however, it is anticipated that they may include, for example, the preparation of management or technical works plans where established guidelines, practices and/or standards apply.</w:t>
      </w:r>
    </w:p>
    <w:p w14:paraId="670DEBA7" w14:textId="6A53B270" w:rsidR="00A23718" w:rsidRPr="001A5012" w:rsidRDefault="00A23718" w:rsidP="00A23718">
      <w:pPr>
        <w:spacing w:after="120"/>
        <w:rPr>
          <w:rFonts w:ascii="Gill Sans MT" w:hAnsi="Gill Sans MT"/>
          <w:bCs/>
          <w:szCs w:val="24"/>
        </w:rPr>
      </w:pPr>
      <w:r w:rsidRPr="001A5012">
        <w:rPr>
          <w:rFonts w:ascii="Gill Sans MT" w:hAnsi="Gill Sans MT"/>
          <w:bCs/>
          <w:szCs w:val="24"/>
        </w:rPr>
        <w:t xml:space="preserve">An </w:t>
      </w:r>
      <w:r>
        <w:rPr>
          <w:rFonts w:ascii="Gill Sans MT" w:hAnsi="Gill Sans MT"/>
          <w:bCs/>
          <w:szCs w:val="24"/>
        </w:rPr>
        <w:t>IPPCC</w:t>
      </w:r>
      <w:r w:rsidRPr="001A5012">
        <w:rPr>
          <w:rFonts w:ascii="Gill Sans MT" w:hAnsi="Gill Sans MT"/>
          <w:bCs/>
          <w:szCs w:val="24"/>
        </w:rPr>
        <w:t xml:space="preserve"> is a condition that is specified</w:t>
      </w:r>
      <w:r w:rsidR="00063BD2">
        <w:rPr>
          <w:rFonts w:ascii="Gill Sans MT" w:hAnsi="Gill Sans MT"/>
          <w:bCs/>
          <w:szCs w:val="24"/>
        </w:rPr>
        <w:t xml:space="preserve"> on the </w:t>
      </w:r>
      <w:r w:rsidR="00063BD2" w:rsidRPr="001A5012">
        <w:rPr>
          <w:rFonts w:ascii="Gill Sans MT" w:hAnsi="Gill Sans MT"/>
          <w:bCs/>
          <w:szCs w:val="24"/>
        </w:rPr>
        <w:t>Major Project Permit</w:t>
      </w:r>
      <w:r w:rsidRPr="001A5012">
        <w:rPr>
          <w:rFonts w:ascii="Gill Sans MT" w:hAnsi="Gill Sans MT"/>
          <w:bCs/>
          <w:szCs w:val="24"/>
        </w:rPr>
        <w:t>:</w:t>
      </w:r>
    </w:p>
    <w:p w14:paraId="1C1649DA" w14:textId="17AF5088" w:rsidR="00A23718" w:rsidRPr="001A5012" w:rsidRDefault="00A23718" w:rsidP="00A23718">
      <w:pPr>
        <w:pStyle w:val="ListParagraph"/>
        <w:numPr>
          <w:ilvl w:val="0"/>
          <w:numId w:val="41"/>
        </w:numPr>
        <w:spacing w:after="0"/>
        <w:ind w:left="714" w:hanging="357"/>
        <w:contextualSpacing w:val="0"/>
        <w:rPr>
          <w:rFonts w:ascii="Gill Sans MT" w:hAnsi="Gill Sans MT"/>
          <w:bCs/>
          <w:szCs w:val="24"/>
        </w:rPr>
      </w:pPr>
      <w:r w:rsidRPr="001A5012">
        <w:rPr>
          <w:rFonts w:ascii="Gill Sans MT" w:hAnsi="Gill Sans MT"/>
          <w:bCs/>
          <w:szCs w:val="24"/>
        </w:rPr>
        <w:t xml:space="preserve">After the </w:t>
      </w:r>
      <w:r w:rsidR="00514A3D">
        <w:rPr>
          <w:rFonts w:ascii="Gill Sans MT" w:hAnsi="Gill Sans MT"/>
          <w:bCs/>
          <w:szCs w:val="24"/>
        </w:rPr>
        <w:t>P</w:t>
      </w:r>
      <w:r w:rsidR="00991D40">
        <w:rPr>
          <w:rFonts w:ascii="Gill Sans MT" w:hAnsi="Gill Sans MT"/>
          <w:bCs/>
          <w:szCs w:val="24"/>
        </w:rPr>
        <w:t xml:space="preserve">anel grants </w:t>
      </w:r>
      <w:r w:rsidR="00063BD2">
        <w:rPr>
          <w:rFonts w:ascii="Gill Sans MT" w:hAnsi="Gill Sans MT"/>
          <w:bCs/>
          <w:szCs w:val="24"/>
        </w:rPr>
        <w:t>the permit</w:t>
      </w:r>
      <w:r w:rsidRPr="001A5012">
        <w:rPr>
          <w:rFonts w:ascii="Gill Sans MT" w:hAnsi="Gill Sans MT"/>
          <w:bCs/>
          <w:szCs w:val="24"/>
        </w:rPr>
        <w:t xml:space="preserve">; and </w:t>
      </w:r>
    </w:p>
    <w:p w14:paraId="4E21FE2C" w14:textId="52A81C5A" w:rsidR="00A23718" w:rsidRPr="00A23718" w:rsidRDefault="00A23718" w:rsidP="00A23718">
      <w:pPr>
        <w:pStyle w:val="ListParagraph"/>
        <w:numPr>
          <w:ilvl w:val="0"/>
          <w:numId w:val="41"/>
        </w:numPr>
        <w:spacing w:after="0"/>
        <w:ind w:left="714" w:hanging="357"/>
        <w:contextualSpacing w:val="0"/>
        <w:rPr>
          <w:rFonts w:ascii="Gill Sans MT" w:hAnsi="Gill Sans MT"/>
          <w:bCs/>
          <w:szCs w:val="24"/>
        </w:rPr>
      </w:pPr>
      <w:r w:rsidRPr="001A5012">
        <w:rPr>
          <w:rFonts w:ascii="Gill Sans MT" w:hAnsi="Gill Sans MT"/>
          <w:bCs/>
          <w:szCs w:val="24"/>
        </w:rPr>
        <w:t xml:space="preserve">Before a Permit Commencement Notice is issued </w:t>
      </w:r>
      <w:r w:rsidR="00991D40">
        <w:rPr>
          <w:rFonts w:ascii="Gill Sans MT" w:hAnsi="Gill Sans MT"/>
          <w:bCs/>
          <w:szCs w:val="24"/>
        </w:rPr>
        <w:t xml:space="preserve">by the Panel </w:t>
      </w:r>
      <w:r w:rsidRPr="001A5012">
        <w:rPr>
          <w:rFonts w:ascii="Gill Sans MT" w:hAnsi="Gill Sans MT"/>
          <w:bCs/>
          <w:szCs w:val="24"/>
        </w:rPr>
        <w:t xml:space="preserve">in relation to the </w:t>
      </w:r>
      <w:r w:rsidR="00880D8D">
        <w:rPr>
          <w:rFonts w:ascii="Gill Sans MT" w:hAnsi="Gill Sans MT"/>
          <w:bCs/>
          <w:szCs w:val="24"/>
        </w:rPr>
        <w:t>permit</w:t>
      </w:r>
      <w:r>
        <w:rPr>
          <w:rFonts w:ascii="Gill Sans MT" w:hAnsi="Gill Sans MT"/>
          <w:bCs/>
          <w:szCs w:val="24"/>
        </w:rPr>
        <w:t xml:space="preserve"> commencing</w:t>
      </w:r>
      <w:r w:rsidRPr="001A5012">
        <w:rPr>
          <w:rFonts w:ascii="Gill Sans MT" w:hAnsi="Gill Sans MT"/>
          <w:bCs/>
          <w:szCs w:val="24"/>
        </w:rPr>
        <w:t>.</w:t>
      </w:r>
    </w:p>
    <w:p w14:paraId="20D0243B" w14:textId="296F8700" w:rsidR="00AC6326" w:rsidRPr="001A5012" w:rsidRDefault="00474916" w:rsidP="00AC6326">
      <w:pPr>
        <w:pStyle w:val="Default"/>
        <w:spacing w:before="240" w:after="120" w:line="276" w:lineRule="auto"/>
        <w:rPr>
          <w:rFonts w:cs="Times New Roman"/>
          <w:bCs/>
          <w:color w:val="auto"/>
          <w:lang w:eastAsia="en-US"/>
        </w:rPr>
      </w:pPr>
      <w:r>
        <w:rPr>
          <w:rFonts w:cs="Times New Roman"/>
          <w:bCs/>
          <w:color w:val="auto"/>
          <w:lang w:eastAsia="en-US"/>
        </w:rPr>
        <w:t>As part of the major projects assessment process, p</w:t>
      </w:r>
      <w:r w:rsidR="00AF1D2A" w:rsidRPr="009D7246">
        <w:rPr>
          <w:rFonts w:cs="Times New Roman"/>
          <w:bCs/>
          <w:color w:val="auto"/>
          <w:lang w:eastAsia="en-US"/>
        </w:rPr>
        <w:t>articipating regulators</w:t>
      </w:r>
      <w:r w:rsidR="002B57D3" w:rsidRPr="009D7246">
        <w:rPr>
          <w:rFonts w:cs="Times New Roman"/>
          <w:bCs/>
          <w:color w:val="auto"/>
          <w:lang w:eastAsia="en-US"/>
        </w:rPr>
        <w:t xml:space="preserve"> and the Panel</w:t>
      </w:r>
      <w:r w:rsidR="00AF1D2A" w:rsidRPr="009D7246">
        <w:rPr>
          <w:rFonts w:cs="Times New Roman"/>
          <w:bCs/>
          <w:color w:val="auto"/>
          <w:lang w:eastAsia="en-US"/>
        </w:rPr>
        <w:t xml:space="preserve"> identity those matters that </w:t>
      </w:r>
      <w:r w:rsidR="00AC6326" w:rsidRPr="009D7246">
        <w:rPr>
          <w:rFonts w:cs="Times New Roman"/>
          <w:bCs/>
          <w:color w:val="auto"/>
          <w:lang w:eastAsia="en-US"/>
        </w:rPr>
        <w:t>are required</w:t>
      </w:r>
      <w:r w:rsidR="00AF1D2A" w:rsidRPr="009D7246">
        <w:rPr>
          <w:rFonts w:cs="Times New Roman"/>
          <w:bCs/>
          <w:color w:val="auto"/>
          <w:lang w:eastAsia="en-US"/>
        </w:rPr>
        <w:t xml:space="preserve"> to be included in the proponent’s Major Project Impact Statement and any conditions or restrictions that </w:t>
      </w:r>
      <w:r w:rsidR="00AC6326" w:rsidRPr="009D7246">
        <w:rPr>
          <w:rFonts w:cs="Times New Roman"/>
          <w:bCs/>
          <w:color w:val="auto"/>
          <w:lang w:eastAsia="en-US"/>
        </w:rPr>
        <w:t>each</w:t>
      </w:r>
      <w:r w:rsidR="00AF1D2A" w:rsidRPr="009D7246">
        <w:rPr>
          <w:rFonts w:cs="Times New Roman"/>
          <w:bCs/>
          <w:color w:val="auto"/>
          <w:lang w:eastAsia="en-US"/>
        </w:rPr>
        <w:t xml:space="preserve"> regulator </w:t>
      </w:r>
      <w:r w:rsidR="002B57D3" w:rsidRPr="009D7246">
        <w:rPr>
          <w:rFonts w:cs="Times New Roman"/>
          <w:bCs/>
          <w:color w:val="auto"/>
          <w:lang w:eastAsia="en-US"/>
        </w:rPr>
        <w:t xml:space="preserve">and the Panel </w:t>
      </w:r>
      <w:r w:rsidR="00AF1D2A" w:rsidRPr="009D7246">
        <w:rPr>
          <w:rFonts w:cs="Times New Roman"/>
          <w:bCs/>
          <w:color w:val="auto"/>
          <w:lang w:eastAsia="en-US"/>
        </w:rPr>
        <w:t xml:space="preserve">requires to be included in the </w:t>
      </w:r>
      <w:r w:rsidR="00AF1D2A" w:rsidRPr="001A5012">
        <w:rPr>
          <w:rFonts w:cs="Times New Roman"/>
          <w:bCs/>
          <w:color w:val="auto"/>
          <w:lang w:eastAsia="en-US"/>
        </w:rPr>
        <w:t xml:space="preserve">Assessment Guidelines for the major project. </w:t>
      </w:r>
    </w:p>
    <w:p w14:paraId="37E44483" w14:textId="77777777" w:rsidR="0079003B" w:rsidRDefault="006045F3" w:rsidP="00AC6326">
      <w:pPr>
        <w:pStyle w:val="Default"/>
        <w:spacing w:before="240" w:after="120" w:line="276" w:lineRule="auto"/>
        <w:rPr>
          <w:rFonts w:cs="Times New Roman"/>
          <w:bCs/>
          <w:color w:val="auto"/>
          <w:lang w:eastAsia="en-US"/>
        </w:rPr>
      </w:pPr>
      <w:r w:rsidRPr="001A5012">
        <w:rPr>
          <w:rFonts w:cs="Times New Roman"/>
          <w:bCs/>
          <w:color w:val="auto"/>
          <w:lang w:eastAsia="en-US"/>
        </w:rPr>
        <w:t>At this stage, a</w:t>
      </w:r>
      <w:r w:rsidR="00AC6326" w:rsidRPr="001A5012">
        <w:rPr>
          <w:rFonts w:cs="Times New Roman"/>
          <w:bCs/>
          <w:color w:val="auto"/>
          <w:lang w:eastAsia="en-US"/>
        </w:rPr>
        <w:t xml:space="preserve">ny </w:t>
      </w:r>
      <w:r w:rsidRPr="001A5012">
        <w:rPr>
          <w:rFonts w:cs="Times New Roman"/>
          <w:bCs/>
          <w:color w:val="auto"/>
          <w:lang w:eastAsia="en-US"/>
        </w:rPr>
        <w:t xml:space="preserve">proposed </w:t>
      </w:r>
      <w:r w:rsidR="00AC6326" w:rsidRPr="001A5012">
        <w:rPr>
          <w:rFonts w:cs="Times New Roman"/>
          <w:bCs/>
          <w:color w:val="auto"/>
          <w:lang w:eastAsia="en-US"/>
        </w:rPr>
        <w:t xml:space="preserve">conditions </w:t>
      </w:r>
      <w:r w:rsidR="00E50B25">
        <w:rPr>
          <w:rFonts w:cs="Times New Roman"/>
          <w:bCs/>
          <w:color w:val="auto"/>
          <w:lang w:eastAsia="en-US"/>
        </w:rPr>
        <w:t xml:space="preserve">or restrictions </w:t>
      </w:r>
      <w:r w:rsidR="00AC6326" w:rsidRPr="001A5012">
        <w:rPr>
          <w:rFonts w:cs="Times New Roman"/>
          <w:bCs/>
          <w:color w:val="auto"/>
          <w:lang w:eastAsia="en-US"/>
        </w:rPr>
        <w:t>are draft only and subject to consideration of the proponent’s Major Project Impact Statement</w:t>
      </w:r>
      <w:r w:rsidR="00493356" w:rsidRPr="001A5012">
        <w:rPr>
          <w:rFonts w:cs="Times New Roman"/>
          <w:bCs/>
          <w:color w:val="auto"/>
          <w:lang w:eastAsia="en-US"/>
        </w:rPr>
        <w:t>,</w:t>
      </w:r>
      <w:r w:rsidR="00D216AC" w:rsidRPr="001A5012">
        <w:rPr>
          <w:rFonts w:cs="Times New Roman"/>
          <w:bCs/>
          <w:color w:val="auto"/>
          <w:lang w:eastAsia="en-US"/>
        </w:rPr>
        <w:t xml:space="preserve"> </w:t>
      </w:r>
      <w:r w:rsidR="00493356" w:rsidRPr="001A5012">
        <w:rPr>
          <w:rFonts w:cs="Times New Roman"/>
          <w:bCs/>
          <w:color w:val="auto"/>
          <w:lang w:eastAsia="en-US"/>
        </w:rPr>
        <w:t>any</w:t>
      </w:r>
      <w:r w:rsidR="00D216AC" w:rsidRPr="001A5012">
        <w:rPr>
          <w:rFonts w:cs="Times New Roman"/>
          <w:bCs/>
          <w:color w:val="auto"/>
          <w:lang w:eastAsia="en-US"/>
        </w:rPr>
        <w:t xml:space="preserve"> other </w:t>
      </w:r>
      <w:r w:rsidR="00493356" w:rsidRPr="001A5012">
        <w:rPr>
          <w:rFonts w:cs="Times New Roman"/>
          <w:bCs/>
          <w:color w:val="auto"/>
          <w:lang w:eastAsia="en-US"/>
        </w:rPr>
        <w:t xml:space="preserve">information required </w:t>
      </w:r>
      <w:r w:rsidR="00D216AC" w:rsidRPr="001A5012">
        <w:rPr>
          <w:rFonts w:cs="Times New Roman"/>
          <w:bCs/>
          <w:color w:val="auto"/>
          <w:lang w:eastAsia="en-US"/>
        </w:rPr>
        <w:t xml:space="preserve">by the participating regulators and </w:t>
      </w:r>
      <w:r w:rsidR="00493356" w:rsidRPr="001A5012">
        <w:rPr>
          <w:rFonts w:cs="Times New Roman"/>
          <w:bCs/>
          <w:color w:val="auto"/>
          <w:lang w:eastAsia="en-US"/>
        </w:rPr>
        <w:t xml:space="preserve">information obtained </w:t>
      </w:r>
      <w:r w:rsidR="00D216AC" w:rsidRPr="001A5012">
        <w:rPr>
          <w:rFonts w:cs="Times New Roman"/>
          <w:bCs/>
          <w:color w:val="auto"/>
          <w:lang w:eastAsia="en-US"/>
        </w:rPr>
        <w:t>through the</w:t>
      </w:r>
      <w:r w:rsidR="00AC6326" w:rsidRPr="001A5012">
        <w:rPr>
          <w:rFonts w:cs="Times New Roman"/>
          <w:bCs/>
          <w:color w:val="auto"/>
          <w:lang w:eastAsia="en-US"/>
        </w:rPr>
        <w:t xml:space="preserve"> public exhi</w:t>
      </w:r>
      <w:r w:rsidR="00D216AC" w:rsidRPr="001A5012">
        <w:rPr>
          <w:rFonts w:cs="Times New Roman"/>
          <w:bCs/>
          <w:color w:val="auto"/>
          <w:lang w:eastAsia="en-US"/>
        </w:rPr>
        <w:t>bition and hearing process</w:t>
      </w:r>
      <w:r w:rsidR="0079003B">
        <w:rPr>
          <w:rFonts w:cs="Times New Roman"/>
          <w:bCs/>
          <w:color w:val="auto"/>
          <w:lang w:eastAsia="en-US"/>
        </w:rPr>
        <w:t>.</w:t>
      </w:r>
    </w:p>
    <w:p w14:paraId="1FB08FD4" w14:textId="2BCB1186" w:rsidR="00AF1D2A" w:rsidRPr="001A5012" w:rsidRDefault="00AC6326" w:rsidP="00AC6326">
      <w:pPr>
        <w:pStyle w:val="Default"/>
        <w:spacing w:before="240" w:after="120" w:line="276" w:lineRule="auto"/>
        <w:rPr>
          <w:rFonts w:cs="Times New Roman"/>
          <w:bCs/>
          <w:color w:val="auto"/>
          <w:lang w:eastAsia="en-US"/>
        </w:rPr>
      </w:pPr>
      <w:r w:rsidRPr="001A5012">
        <w:rPr>
          <w:rFonts w:cs="Times New Roman"/>
          <w:bCs/>
          <w:color w:val="auto"/>
          <w:lang w:eastAsia="en-US"/>
        </w:rPr>
        <w:t>Pr</w:t>
      </w:r>
      <w:r w:rsidR="00493356" w:rsidRPr="001A5012">
        <w:rPr>
          <w:rFonts w:cs="Times New Roman"/>
          <w:bCs/>
          <w:color w:val="auto"/>
          <w:lang w:eastAsia="en-US"/>
        </w:rPr>
        <w:t xml:space="preserve">oposed conditions </w:t>
      </w:r>
      <w:r w:rsidR="00474916">
        <w:rPr>
          <w:rFonts w:cs="Times New Roman"/>
          <w:bCs/>
          <w:color w:val="auto"/>
          <w:lang w:eastAsia="en-US"/>
        </w:rPr>
        <w:t xml:space="preserve">or restrictions </w:t>
      </w:r>
      <w:r w:rsidR="00493356" w:rsidRPr="001A5012">
        <w:rPr>
          <w:rFonts w:cs="Times New Roman"/>
          <w:bCs/>
          <w:color w:val="auto"/>
          <w:lang w:eastAsia="en-US"/>
        </w:rPr>
        <w:t>may include</w:t>
      </w:r>
      <w:r w:rsidR="00E2146D" w:rsidRPr="001A5012">
        <w:rPr>
          <w:rFonts w:cs="Times New Roman"/>
          <w:bCs/>
          <w:color w:val="auto"/>
          <w:lang w:eastAsia="en-US"/>
        </w:rPr>
        <w:t xml:space="preserve"> draft </w:t>
      </w:r>
      <w:r w:rsidR="00F373A8">
        <w:rPr>
          <w:rFonts w:cs="Times New Roman"/>
          <w:bCs/>
          <w:color w:val="auto"/>
          <w:lang w:eastAsia="en-US"/>
        </w:rPr>
        <w:t>IPPCCs</w:t>
      </w:r>
      <w:r w:rsidR="00493356" w:rsidRPr="001A5012">
        <w:rPr>
          <w:rFonts w:cs="Times New Roman"/>
          <w:bCs/>
          <w:color w:val="auto"/>
          <w:lang w:eastAsia="en-US"/>
        </w:rPr>
        <w:t xml:space="preserve">, which are </w:t>
      </w:r>
      <w:r w:rsidRPr="001A5012">
        <w:rPr>
          <w:rFonts w:cs="Times New Roman"/>
          <w:bCs/>
          <w:color w:val="auto"/>
          <w:lang w:eastAsia="en-US"/>
        </w:rPr>
        <w:t>con</w:t>
      </w:r>
      <w:r w:rsidR="002A46B4" w:rsidRPr="001A5012">
        <w:rPr>
          <w:rFonts w:cs="Times New Roman"/>
          <w:bCs/>
          <w:color w:val="auto"/>
          <w:lang w:eastAsia="en-US"/>
        </w:rPr>
        <w:t>dition</w:t>
      </w:r>
      <w:r w:rsidR="00493356" w:rsidRPr="001A5012">
        <w:rPr>
          <w:rFonts w:cs="Times New Roman"/>
          <w:bCs/>
          <w:color w:val="auto"/>
          <w:lang w:eastAsia="en-US"/>
        </w:rPr>
        <w:t>s</w:t>
      </w:r>
      <w:r w:rsidR="002A46B4" w:rsidRPr="001A5012">
        <w:rPr>
          <w:rFonts w:cs="Times New Roman"/>
          <w:bCs/>
          <w:color w:val="auto"/>
          <w:lang w:eastAsia="en-US"/>
        </w:rPr>
        <w:t xml:space="preserve"> that </w:t>
      </w:r>
      <w:r w:rsidR="00F352EA" w:rsidRPr="001A5012">
        <w:rPr>
          <w:rFonts w:cs="Times New Roman"/>
          <w:bCs/>
          <w:color w:val="auto"/>
          <w:lang w:eastAsia="en-US"/>
        </w:rPr>
        <w:t>can be required by the participating regulators to</w:t>
      </w:r>
      <w:r w:rsidR="002A46B4" w:rsidRPr="001A5012">
        <w:rPr>
          <w:rFonts w:cs="Times New Roman"/>
          <w:bCs/>
          <w:color w:val="auto"/>
          <w:lang w:eastAsia="en-US"/>
        </w:rPr>
        <w:t xml:space="preserve"> be placed on a M</w:t>
      </w:r>
      <w:r w:rsidR="00B15E71" w:rsidRPr="001A5012">
        <w:rPr>
          <w:rFonts w:cs="Times New Roman"/>
          <w:bCs/>
          <w:color w:val="auto"/>
          <w:lang w:eastAsia="en-US"/>
        </w:rPr>
        <w:t>ajor Project P</w:t>
      </w:r>
      <w:r w:rsidR="00F352EA" w:rsidRPr="001A5012">
        <w:rPr>
          <w:rFonts w:cs="Times New Roman"/>
          <w:bCs/>
          <w:color w:val="auto"/>
          <w:lang w:eastAsia="en-US"/>
        </w:rPr>
        <w:t xml:space="preserve">ermit, which </w:t>
      </w:r>
      <w:r w:rsidR="00493356" w:rsidRPr="001A5012">
        <w:rPr>
          <w:rFonts w:cs="Times New Roman"/>
          <w:bCs/>
          <w:color w:val="auto"/>
          <w:lang w:eastAsia="en-US"/>
        </w:rPr>
        <w:t>may require</w:t>
      </w:r>
      <w:r w:rsidRPr="001A5012">
        <w:rPr>
          <w:rFonts w:cs="Times New Roman"/>
          <w:bCs/>
          <w:color w:val="auto"/>
          <w:lang w:eastAsia="en-US"/>
        </w:rPr>
        <w:t xml:space="preserve"> the proponent to provide further documentation for approval prior to the permit commencing</w:t>
      </w:r>
      <w:r w:rsidR="00D216AC" w:rsidRPr="001A5012">
        <w:rPr>
          <w:rFonts w:cs="Times New Roman"/>
          <w:bCs/>
          <w:color w:val="auto"/>
          <w:lang w:eastAsia="en-US"/>
        </w:rPr>
        <w:t>.</w:t>
      </w:r>
    </w:p>
    <w:p w14:paraId="4980D6F4" w14:textId="6BAC969C" w:rsidR="00A10D8E" w:rsidRPr="001A5012" w:rsidRDefault="00A10D8E" w:rsidP="00A10D8E">
      <w:pPr>
        <w:pStyle w:val="Default"/>
        <w:spacing w:before="240" w:after="120" w:line="276" w:lineRule="auto"/>
        <w:rPr>
          <w:rFonts w:cs="Times New Roman"/>
          <w:bCs/>
          <w:color w:val="auto"/>
          <w:lang w:eastAsia="en-US"/>
        </w:rPr>
      </w:pPr>
      <w:r w:rsidRPr="001A5012">
        <w:rPr>
          <w:rFonts w:cs="Times New Roman"/>
          <w:bCs/>
          <w:color w:val="auto"/>
          <w:lang w:eastAsia="en-US"/>
        </w:rPr>
        <w:lastRenderedPageBreak/>
        <w:t xml:space="preserve">The bulk of </w:t>
      </w:r>
      <w:r w:rsidR="009F26A8">
        <w:rPr>
          <w:rFonts w:cs="Times New Roman"/>
          <w:bCs/>
          <w:color w:val="auto"/>
          <w:lang w:eastAsia="en-US"/>
        </w:rPr>
        <w:t xml:space="preserve">any </w:t>
      </w:r>
      <w:r w:rsidRPr="001A5012">
        <w:rPr>
          <w:rFonts w:cs="Times New Roman"/>
          <w:bCs/>
          <w:color w:val="auto"/>
          <w:lang w:eastAsia="en-US"/>
        </w:rPr>
        <w:t xml:space="preserve">proposed conditions </w:t>
      </w:r>
      <w:r w:rsidR="009F26A8">
        <w:rPr>
          <w:rFonts w:cs="Times New Roman"/>
          <w:bCs/>
          <w:color w:val="auto"/>
          <w:lang w:eastAsia="en-US"/>
        </w:rPr>
        <w:t xml:space="preserve">or restrictions </w:t>
      </w:r>
      <w:r w:rsidRPr="001A5012">
        <w:rPr>
          <w:rFonts w:cs="Times New Roman"/>
          <w:bCs/>
          <w:color w:val="auto"/>
          <w:lang w:eastAsia="en-US"/>
        </w:rPr>
        <w:t xml:space="preserve">to be complied with after commencement of the Major Project Permit are expected to be identified following assessment of the proponent’s Major Project Impact Statement and consideration of representations provided during public exhibition and </w:t>
      </w:r>
      <w:r w:rsidR="00C56462">
        <w:rPr>
          <w:rFonts w:cs="Times New Roman"/>
          <w:bCs/>
          <w:color w:val="auto"/>
          <w:lang w:eastAsia="en-US"/>
        </w:rPr>
        <w:t xml:space="preserve">any </w:t>
      </w:r>
      <w:r w:rsidRPr="001A5012">
        <w:rPr>
          <w:rFonts w:cs="Times New Roman"/>
          <w:bCs/>
          <w:color w:val="auto"/>
          <w:lang w:eastAsia="en-US"/>
        </w:rPr>
        <w:t>hearings on the project.</w:t>
      </w:r>
    </w:p>
    <w:p w14:paraId="60383714" w14:textId="1EB2BA86" w:rsidR="00F66531" w:rsidRPr="001A5012" w:rsidRDefault="002A46B4" w:rsidP="00251AE7">
      <w:pPr>
        <w:spacing w:after="120"/>
        <w:rPr>
          <w:rFonts w:ascii="Gill Sans MT" w:hAnsi="Gill Sans MT"/>
          <w:bCs/>
          <w:szCs w:val="24"/>
        </w:rPr>
      </w:pPr>
      <w:r w:rsidRPr="001A5012">
        <w:rPr>
          <w:rFonts w:ascii="Gill Sans MT" w:hAnsi="Gill Sans MT"/>
          <w:bCs/>
          <w:szCs w:val="24"/>
        </w:rPr>
        <w:t>F</w:t>
      </w:r>
      <w:r w:rsidR="00F1212D" w:rsidRPr="001A5012">
        <w:rPr>
          <w:rFonts w:ascii="Gill Sans MT" w:hAnsi="Gill Sans MT"/>
          <w:bCs/>
          <w:szCs w:val="24"/>
        </w:rPr>
        <w:t xml:space="preserve">ollowing </w:t>
      </w:r>
      <w:r w:rsidR="00E01F09" w:rsidRPr="001A5012">
        <w:rPr>
          <w:rFonts w:ascii="Gill Sans MT" w:hAnsi="Gill Sans MT"/>
          <w:bCs/>
          <w:szCs w:val="24"/>
        </w:rPr>
        <w:t xml:space="preserve">the </w:t>
      </w:r>
      <w:r w:rsidR="00F1212D" w:rsidRPr="001A5012">
        <w:rPr>
          <w:rFonts w:ascii="Gill Sans MT" w:hAnsi="Gill Sans MT"/>
          <w:bCs/>
          <w:szCs w:val="24"/>
        </w:rPr>
        <w:t>exhibition</w:t>
      </w:r>
      <w:r w:rsidR="00E01F09" w:rsidRPr="001A5012">
        <w:rPr>
          <w:rFonts w:ascii="Gill Sans MT" w:hAnsi="Gill Sans MT"/>
          <w:bCs/>
          <w:szCs w:val="24"/>
        </w:rPr>
        <w:t xml:space="preserve"> and hearing process</w:t>
      </w:r>
      <w:r w:rsidR="00F1212D" w:rsidRPr="001A5012">
        <w:rPr>
          <w:rFonts w:ascii="Gill Sans MT" w:hAnsi="Gill Sans MT"/>
          <w:bCs/>
          <w:szCs w:val="24"/>
        </w:rPr>
        <w:t xml:space="preserve"> and </w:t>
      </w:r>
      <w:r w:rsidR="00E01F09" w:rsidRPr="001A5012">
        <w:rPr>
          <w:rFonts w:ascii="Gill Sans MT" w:hAnsi="Gill Sans MT"/>
          <w:bCs/>
          <w:szCs w:val="24"/>
        </w:rPr>
        <w:t xml:space="preserve">the </w:t>
      </w:r>
      <w:r w:rsidR="00F1212D" w:rsidRPr="001A5012">
        <w:rPr>
          <w:rFonts w:ascii="Gill Sans MT" w:hAnsi="Gill Sans MT"/>
          <w:bCs/>
          <w:szCs w:val="24"/>
        </w:rPr>
        <w:t xml:space="preserve">receipt of final advice from </w:t>
      </w:r>
      <w:r w:rsidR="004E5A5F" w:rsidRPr="001A5012">
        <w:rPr>
          <w:rFonts w:ascii="Gill Sans MT" w:hAnsi="Gill Sans MT"/>
          <w:bCs/>
          <w:szCs w:val="24"/>
        </w:rPr>
        <w:t xml:space="preserve">the participating </w:t>
      </w:r>
      <w:r w:rsidR="00F1212D" w:rsidRPr="001A5012">
        <w:rPr>
          <w:rFonts w:ascii="Gill Sans MT" w:hAnsi="Gill Sans MT"/>
          <w:bCs/>
          <w:szCs w:val="24"/>
        </w:rPr>
        <w:t>regulators, the</w:t>
      </w:r>
      <w:r w:rsidR="00B44066" w:rsidRPr="001A5012">
        <w:rPr>
          <w:rFonts w:ascii="Gill Sans MT" w:hAnsi="Gill Sans MT"/>
          <w:bCs/>
          <w:szCs w:val="24"/>
        </w:rPr>
        <w:t xml:space="preserve"> </w:t>
      </w:r>
      <w:r w:rsidR="00F1212D" w:rsidRPr="001A5012">
        <w:rPr>
          <w:rFonts w:ascii="Gill Sans MT" w:hAnsi="Gill Sans MT"/>
          <w:bCs/>
          <w:szCs w:val="24"/>
        </w:rPr>
        <w:t xml:space="preserve">Panel makes a decision </w:t>
      </w:r>
      <w:r w:rsidR="00E01F09" w:rsidRPr="001A5012">
        <w:rPr>
          <w:rFonts w:ascii="Gill Sans MT" w:hAnsi="Gill Sans MT"/>
          <w:bCs/>
          <w:szCs w:val="24"/>
        </w:rPr>
        <w:t>on whether to</w:t>
      </w:r>
      <w:r w:rsidR="00F1212D" w:rsidRPr="001A5012">
        <w:rPr>
          <w:rFonts w:ascii="Gill Sans MT" w:hAnsi="Gill Sans MT"/>
          <w:bCs/>
          <w:szCs w:val="24"/>
        </w:rPr>
        <w:t xml:space="preserve"> </w:t>
      </w:r>
      <w:r w:rsidR="00C362C6" w:rsidRPr="001A5012">
        <w:rPr>
          <w:rFonts w:ascii="Gill Sans MT" w:hAnsi="Gill Sans MT"/>
          <w:bCs/>
          <w:szCs w:val="24"/>
        </w:rPr>
        <w:t>grant</w:t>
      </w:r>
      <w:r w:rsidR="00F1212D" w:rsidRPr="001A5012">
        <w:rPr>
          <w:rFonts w:ascii="Gill Sans MT" w:hAnsi="Gill Sans MT"/>
          <w:bCs/>
          <w:szCs w:val="24"/>
        </w:rPr>
        <w:t xml:space="preserve"> </w:t>
      </w:r>
      <w:r w:rsidR="00E2146D" w:rsidRPr="001A5012">
        <w:rPr>
          <w:rFonts w:ascii="Gill Sans MT" w:hAnsi="Gill Sans MT"/>
          <w:bCs/>
          <w:szCs w:val="24"/>
        </w:rPr>
        <w:t>a Major Project P</w:t>
      </w:r>
      <w:r w:rsidR="00C362C6" w:rsidRPr="001A5012">
        <w:rPr>
          <w:rFonts w:ascii="Gill Sans MT" w:hAnsi="Gill Sans MT"/>
          <w:bCs/>
          <w:szCs w:val="24"/>
        </w:rPr>
        <w:t>ermit</w:t>
      </w:r>
      <w:r w:rsidR="00E01F09" w:rsidRPr="001A5012">
        <w:rPr>
          <w:rFonts w:ascii="Gill Sans MT" w:hAnsi="Gill Sans MT"/>
          <w:bCs/>
          <w:szCs w:val="24"/>
        </w:rPr>
        <w:t>.</w:t>
      </w:r>
      <w:r w:rsidR="00F1212D" w:rsidRPr="001A5012">
        <w:rPr>
          <w:rFonts w:ascii="Gill Sans MT" w:hAnsi="Gill Sans MT"/>
          <w:bCs/>
          <w:szCs w:val="24"/>
        </w:rPr>
        <w:t xml:space="preserve"> </w:t>
      </w:r>
      <w:r w:rsidR="00E01F09" w:rsidRPr="001A5012">
        <w:rPr>
          <w:rFonts w:ascii="Gill Sans MT" w:hAnsi="Gill Sans MT"/>
          <w:bCs/>
          <w:szCs w:val="24"/>
        </w:rPr>
        <w:t>The permit issued by the Panel</w:t>
      </w:r>
      <w:r w:rsidR="00B9076D" w:rsidRPr="001A5012">
        <w:rPr>
          <w:rFonts w:ascii="Gill Sans MT" w:hAnsi="Gill Sans MT"/>
          <w:bCs/>
          <w:szCs w:val="24"/>
        </w:rPr>
        <w:t xml:space="preserve"> </w:t>
      </w:r>
      <w:r w:rsidR="00E2146D" w:rsidRPr="001A5012">
        <w:rPr>
          <w:rFonts w:ascii="Gill Sans MT" w:hAnsi="Gill Sans MT"/>
          <w:bCs/>
          <w:szCs w:val="24"/>
        </w:rPr>
        <w:t>may</w:t>
      </w:r>
      <w:r w:rsidR="002F55E2">
        <w:rPr>
          <w:rFonts w:ascii="Gill Sans MT" w:hAnsi="Gill Sans MT"/>
          <w:bCs/>
          <w:szCs w:val="24"/>
        </w:rPr>
        <w:t xml:space="preserve"> </w:t>
      </w:r>
      <w:r w:rsidR="00E2146D" w:rsidRPr="001A5012">
        <w:rPr>
          <w:rFonts w:ascii="Gill Sans MT" w:hAnsi="Gill Sans MT"/>
          <w:bCs/>
          <w:szCs w:val="24"/>
        </w:rPr>
        <w:t>be</w:t>
      </w:r>
      <w:r w:rsidR="00B9076D" w:rsidRPr="001A5012">
        <w:rPr>
          <w:rFonts w:ascii="Gill Sans MT" w:hAnsi="Gill Sans MT"/>
          <w:bCs/>
          <w:szCs w:val="24"/>
        </w:rPr>
        <w:t xml:space="preserve"> </w:t>
      </w:r>
      <w:r w:rsidR="00E01F09" w:rsidRPr="001A5012">
        <w:rPr>
          <w:rFonts w:ascii="Gill Sans MT" w:hAnsi="Gill Sans MT"/>
          <w:bCs/>
          <w:szCs w:val="24"/>
        </w:rPr>
        <w:t>subject to</w:t>
      </w:r>
      <w:r w:rsidR="001714B2" w:rsidRPr="001A5012">
        <w:rPr>
          <w:rFonts w:ascii="Gill Sans MT" w:hAnsi="Gill Sans MT"/>
          <w:bCs/>
          <w:szCs w:val="24"/>
        </w:rPr>
        <w:t xml:space="preserve"> </w:t>
      </w:r>
      <w:r w:rsidR="005614D6">
        <w:rPr>
          <w:rFonts w:ascii="Gill Sans MT" w:hAnsi="Gill Sans MT"/>
          <w:bCs/>
          <w:szCs w:val="24"/>
        </w:rPr>
        <w:t>IPPCCs</w:t>
      </w:r>
      <w:r w:rsidR="00E01F09" w:rsidRPr="001A5012">
        <w:rPr>
          <w:rFonts w:ascii="Gill Sans MT" w:hAnsi="Gill Sans MT"/>
          <w:bCs/>
          <w:szCs w:val="24"/>
        </w:rPr>
        <w:t xml:space="preserve"> that </w:t>
      </w:r>
      <w:r w:rsidR="005A5CB7">
        <w:rPr>
          <w:rFonts w:ascii="Gill Sans MT" w:hAnsi="Gill Sans MT"/>
          <w:bCs/>
          <w:szCs w:val="24"/>
        </w:rPr>
        <w:t>have been</w:t>
      </w:r>
      <w:r w:rsidR="00E01F09" w:rsidRPr="001A5012">
        <w:rPr>
          <w:rFonts w:ascii="Gill Sans MT" w:hAnsi="Gill Sans MT"/>
          <w:bCs/>
          <w:szCs w:val="24"/>
        </w:rPr>
        <w:t xml:space="preserve"> imposed by the participating regulators and the Panel</w:t>
      </w:r>
      <w:r w:rsidR="00B9076D" w:rsidRPr="001A5012">
        <w:rPr>
          <w:rFonts w:ascii="Gill Sans MT" w:hAnsi="Gill Sans MT"/>
          <w:bCs/>
          <w:szCs w:val="24"/>
        </w:rPr>
        <w:t xml:space="preserve">. </w:t>
      </w:r>
    </w:p>
    <w:p w14:paraId="3E0DC8CC" w14:textId="3D1A1DC1" w:rsidR="00B9076D" w:rsidRPr="000C4401" w:rsidRDefault="00B9076D" w:rsidP="00251AE7">
      <w:pPr>
        <w:spacing w:after="120"/>
        <w:rPr>
          <w:rFonts w:ascii="Gill Sans MT" w:hAnsi="Gill Sans MT"/>
          <w:bCs/>
          <w:szCs w:val="24"/>
        </w:rPr>
      </w:pPr>
      <w:r w:rsidRPr="000C4401">
        <w:rPr>
          <w:rFonts w:ascii="Gill Sans MT" w:hAnsi="Gill Sans MT"/>
          <w:bCs/>
          <w:szCs w:val="24"/>
        </w:rPr>
        <w:t xml:space="preserve">The proponent is then required to provide </w:t>
      </w:r>
      <w:r w:rsidR="004150FE" w:rsidRPr="000C4401">
        <w:rPr>
          <w:rFonts w:ascii="Gill Sans MT" w:hAnsi="Gill Sans MT"/>
          <w:bCs/>
          <w:szCs w:val="24"/>
        </w:rPr>
        <w:t>any</w:t>
      </w:r>
      <w:r w:rsidRPr="000C4401">
        <w:rPr>
          <w:rFonts w:ascii="Gill Sans MT" w:hAnsi="Gill Sans MT"/>
          <w:bCs/>
          <w:szCs w:val="24"/>
        </w:rPr>
        <w:t xml:space="preserve"> relevant document</w:t>
      </w:r>
      <w:r w:rsidR="00662B87" w:rsidRPr="000C4401">
        <w:rPr>
          <w:rFonts w:ascii="Gill Sans MT" w:hAnsi="Gill Sans MT"/>
          <w:bCs/>
          <w:szCs w:val="24"/>
        </w:rPr>
        <w:t>ation</w:t>
      </w:r>
      <w:r w:rsidRPr="000C4401">
        <w:rPr>
          <w:rFonts w:ascii="Gill Sans MT" w:hAnsi="Gill Sans MT"/>
          <w:bCs/>
          <w:szCs w:val="24"/>
        </w:rPr>
        <w:t xml:space="preserve"> </w:t>
      </w:r>
      <w:r w:rsidR="00C51C4B" w:rsidRPr="000C4401">
        <w:rPr>
          <w:rFonts w:ascii="Gill Sans MT" w:hAnsi="Gill Sans MT"/>
          <w:bCs/>
          <w:szCs w:val="24"/>
        </w:rPr>
        <w:t xml:space="preserve">specified in the </w:t>
      </w:r>
      <w:r w:rsidR="00D51E52">
        <w:rPr>
          <w:rFonts w:ascii="Gill Sans MT" w:hAnsi="Gill Sans MT"/>
          <w:bCs/>
          <w:szCs w:val="24"/>
        </w:rPr>
        <w:t>IPPCC</w:t>
      </w:r>
      <w:r w:rsidR="008C045E">
        <w:rPr>
          <w:rFonts w:ascii="Gill Sans MT" w:hAnsi="Gill Sans MT"/>
          <w:bCs/>
          <w:szCs w:val="24"/>
        </w:rPr>
        <w:t>s</w:t>
      </w:r>
      <w:r w:rsidR="00C51C4B" w:rsidRPr="000C4401">
        <w:rPr>
          <w:rFonts w:ascii="Gill Sans MT" w:hAnsi="Gill Sans MT"/>
          <w:bCs/>
          <w:szCs w:val="24"/>
        </w:rPr>
        <w:t xml:space="preserve"> </w:t>
      </w:r>
      <w:r w:rsidRPr="000C4401">
        <w:rPr>
          <w:rFonts w:ascii="Gill Sans MT" w:hAnsi="Gill Sans MT"/>
          <w:bCs/>
          <w:szCs w:val="24"/>
        </w:rPr>
        <w:t xml:space="preserve">to the </w:t>
      </w:r>
      <w:r w:rsidR="000C4401" w:rsidRPr="000C4401">
        <w:rPr>
          <w:rFonts w:ascii="Gill Sans MT" w:hAnsi="Gill Sans MT"/>
          <w:bCs/>
          <w:szCs w:val="24"/>
        </w:rPr>
        <w:t xml:space="preserve">participating regulator </w:t>
      </w:r>
      <w:r w:rsidRPr="000C4401">
        <w:rPr>
          <w:rFonts w:ascii="Gill Sans MT" w:hAnsi="Gill Sans MT"/>
          <w:bCs/>
          <w:szCs w:val="24"/>
        </w:rPr>
        <w:t>for approval</w:t>
      </w:r>
      <w:r w:rsidR="004150FE" w:rsidRPr="000C4401">
        <w:rPr>
          <w:rFonts w:ascii="Gill Sans MT" w:hAnsi="Gill Sans MT"/>
          <w:bCs/>
          <w:szCs w:val="24"/>
        </w:rPr>
        <w:t>. When</w:t>
      </w:r>
      <w:r w:rsidRPr="000C4401">
        <w:rPr>
          <w:rFonts w:ascii="Gill Sans MT" w:hAnsi="Gill Sans MT"/>
          <w:bCs/>
          <w:szCs w:val="24"/>
        </w:rPr>
        <w:t xml:space="preserve"> all</w:t>
      </w:r>
      <w:r w:rsidR="00B44066" w:rsidRPr="000C4401">
        <w:rPr>
          <w:rFonts w:ascii="Gill Sans MT" w:hAnsi="Gill Sans MT"/>
          <w:bCs/>
          <w:szCs w:val="24"/>
        </w:rPr>
        <w:t xml:space="preserve"> </w:t>
      </w:r>
      <w:r w:rsidR="00D51E52">
        <w:rPr>
          <w:rFonts w:ascii="Gill Sans MT" w:hAnsi="Gill Sans MT"/>
          <w:bCs/>
          <w:szCs w:val="24"/>
        </w:rPr>
        <w:t>IPPCCs</w:t>
      </w:r>
      <w:r w:rsidR="00662B87" w:rsidRPr="000C4401">
        <w:rPr>
          <w:rFonts w:ascii="Gill Sans MT" w:hAnsi="Gill Sans MT"/>
          <w:bCs/>
          <w:szCs w:val="24"/>
        </w:rPr>
        <w:t xml:space="preserve"> </w:t>
      </w:r>
      <w:r w:rsidRPr="000C4401">
        <w:rPr>
          <w:rFonts w:ascii="Gill Sans MT" w:hAnsi="Gill Sans MT"/>
          <w:bCs/>
          <w:szCs w:val="24"/>
        </w:rPr>
        <w:t>hav</w:t>
      </w:r>
      <w:r w:rsidR="00750533" w:rsidRPr="000C4401">
        <w:rPr>
          <w:rFonts w:ascii="Gill Sans MT" w:hAnsi="Gill Sans MT"/>
          <w:bCs/>
          <w:szCs w:val="24"/>
        </w:rPr>
        <w:t>e been met, the Panel issues a Permit C</w:t>
      </w:r>
      <w:r w:rsidRPr="000C4401">
        <w:rPr>
          <w:rFonts w:ascii="Gill Sans MT" w:hAnsi="Gill Sans MT"/>
          <w:bCs/>
          <w:szCs w:val="24"/>
        </w:rPr>
        <w:t xml:space="preserve">ommencement </w:t>
      </w:r>
      <w:r w:rsidR="00750533" w:rsidRPr="000C4401">
        <w:rPr>
          <w:rFonts w:ascii="Gill Sans MT" w:hAnsi="Gill Sans MT"/>
          <w:bCs/>
          <w:szCs w:val="24"/>
        </w:rPr>
        <w:t>N</w:t>
      </w:r>
      <w:r w:rsidR="00B44066" w:rsidRPr="000C4401">
        <w:rPr>
          <w:rFonts w:ascii="Gill Sans MT" w:hAnsi="Gill Sans MT"/>
          <w:bCs/>
          <w:szCs w:val="24"/>
        </w:rPr>
        <w:t>otice that</w:t>
      </w:r>
      <w:r w:rsidRPr="000C4401">
        <w:rPr>
          <w:rFonts w:ascii="Gill Sans MT" w:hAnsi="Gill Sans MT"/>
          <w:bCs/>
          <w:szCs w:val="24"/>
        </w:rPr>
        <w:t xml:space="preserve"> allows the </w:t>
      </w:r>
      <w:r w:rsidR="00224C7D">
        <w:rPr>
          <w:rFonts w:ascii="Gill Sans MT" w:hAnsi="Gill Sans MT"/>
          <w:bCs/>
          <w:szCs w:val="24"/>
        </w:rPr>
        <w:t xml:space="preserve">major </w:t>
      </w:r>
      <w:r w:rsidRPr="000C4401">
        <w:rPr>
          <w:rFonts w:ascii="Gill Sans MT" w:hAnsi="Gill Sans MT"/>
          <w:bCs/>
          <w:szCs w:val="24"/>
        </w:rPr>
        <w:t>project to proceed.</w:t>
      </w:r>
    </w:p>
    <w:p w14:paraId="6D326883" w14:textId="77777777" w:rsidR="00D54E86" w:rsidRPr="00DA2E8F" w:rsidRDefault="00D54E86" w:rsidP="00D54E86">
      <w:pPr>
        <w:pStyle w:val="Heading2"/>
      </w:pPr>
      <w:r w:rsidRPr="00DA2E8F">
        <w:t>Grant of Major Project Permit</w:t>
      </w:r>
    </w:p>
    <w:p w14:paraId="41E054E3" w14:textId="77777777" w:rsidR="00D54E86" w:rsidRPr="007D5CFF" w:rsidRDefault="00D54E86" w:rsidP="00D54E86">
      <w:pPr>
        <w:pStyle w:val="Default"/>
        <w:spacing w:before="240" w:after="120" w:line="276" w:lineRule="auto"/>
        <w:rPr>
          <w:rFonts w:cs="Times New Roman"/>
          <w:bCs/>
          <w:color w:val="auto"/>
          <w:lang w:eastAsia="en-US"/>
        </w:rPr>
      </w:pPr>
      <w:r w:rsidRPr="007D5CFF">
        <w:rPr>
          <w:rFonts w:cs="Times New Roman"/>
          <w:bCs/>
          <w:color w:val="auto"/>
          <w:lang w:eastAsia="en-US"/>
        </w:rPr>
        <w:t>The Panel may only grant a Major Project Permit in relation to a major project if it is satisfied that:</w:t>
      </w:r>
    </w:p>
    <w:p w14:paraId="56256680" w14:textId="4819D69E" w:rsidR="00D54E86" w:rsidRPr="007D5CFF" w:rsidRDefault="00D54E86" w:rsidP="00D54E86">
      <w:pPr>
        <w:pStyle w:val="ListParagraph"/>
        <w:numPr>
          <w:ilvl w:val="0"/>
          <w:numId w:val="41"/>
        </w:numPr>
        <w:spacing w:after="0"/>
        <w:ind w:left="714" w:hanging="357"/>
        <w:contextualSpacing w:val="0"/>
        <w:rPr>
          <w:rFonts w:ascii="Gill Sans MT" w:hAnsi="Gill Sans MT"/>
          <w:bCs/>
          <w:szCs w:val="24"/>
        </w:rPr>
      </w:pPr>
      <w:r w:rsidRPr="007D5CFF">
        <w:rPr>
          <w:rFonts w:ascii="Gill Sans MT" w:hAnsi="Gill Sans MT"/>
          <w:bCs/>
          <w:szCs w:val="24"/>
        </w:rPr>
        <w:t xml:space="preserve">The permit will further the objectives specified in Schedule 1 under the </w:t>
      </w:r>
      <w:r w:rsidRPr="007D5CFF">
        <w:rPr>
          <w:rFonts w:ascii="Gill Sans MT" w:hAnsi="Gill Sans MT"/>
          <w:bCs/>
          <w:i/>
          <w:szCs w:val="24"/>
        </w:rPr>
        <w:t>Land</w:t>
      </w:r>
      <w:r w:rsidR="007D5CFF" w:rsidRPr="007D5CFF">
        <w:rPr>
          <w:rFonts w:ascii="Gill Sans MT" w:hAnsi="Gill Sans MT"/>
          <w:bCs/>
          <w:i/>
          <w:szCs w:val="24"/>
        </w:rPr>
        <w:t xml:space="preserve"> Use Planning and Approvals Act </w:t>
      </w:r>
      <w:r w:rsidRPr="007D5CFF">
        <w:rPr>
          <w:rFonts w:ascii="Gill Sans MT" w:hAnsi="Gill Sans MT"/>
          <w:bCs/>
          <w:i/>
          <w:szCs w:val="24"/>
        </w:rPr>
        <w:t>1993</w:t>
      </w:r>
      <w:r w:rsidRPr="007D5CFF">
        <w:rPr>
          <w:rFonts w:ascii="Gill Sans MT" w:hAnsi="Gill Sans MT"/>
          <w:bCs/>
          <w:szCs w:val="24"/>
        </w:rPr>
        <w:t xml:space="preserve">; </w:t>
      </w:r>
    </w:p>
    <w:p w14:paraId="73DA14C3" w14:textId="23C635AF" w:rsidR="00D54E86" w:rsidRPr="007D5CFF" w:rsidRDefault="00D54E86" w:rsidP="00D54E86">
      <w:pPr>
        <w:pStyle w:val="ListParagraph"/>
        <w:numPr>
          <w:ilvl w:val="0"/>
          <w:numId w:val="41"/>
        </w:numPr>
        <w:spacing w:after="0"/>
        <w:ind w:left="714" w:hanging="357"/>
        <w:contextualSpacing w:val="0"/>
        <w:rPr>
          <w:rFonts w:ascii="Gill Sans MT" w:hAnsi="Gill Sans MT"/>
          <w:bCs/>
          <w:szCs w:val="24"/>
        </w:rPr>
      </w:pPr>
      <w:r w:rsidRPr="007D5CFF">
        <w:rPr>
          <w:rFonts w:ascii="Gill Sans MT" w:hAnsi="Gill Sans MT"/>
          <w:bCs/>
          <w:szCs w:val="24"/>
        </w:rPr>
        <w:t>The permit will not be inco</w:t>
      </w:r>
      <w:r w:rsidR="005C35B1">
        <w:rPr>
          <w:rFonts w:ascii="Gill Sans MT" w:hAnsi="Gill Sans MT"/>
          <w:bCs/>
          <w:szCs w:val="24"/>
        </w:rPr>
        <w:t>nsistent with any State Policy;</w:t>
      </w:r>
    </w:p>
    <w:p w14:paraId="105B7BFF" w14:textId="098CC0AC" w:rsidR="00D54E86" w:rsidRPr="007D5CFF" w:rsidRDefault="00D54E86" w:rsidP="00D54E86">
      <w:pPr>
        <w:pStyle w:val="ListParagraph"/>
        <w:numPr>
          <w:ilvl w:val="0"/>
          <w:numId w:val="41"/>
        </w:numPr>
        <w:spacing w:after="0"/>
        <w:ind w:left="714" w:hanging="357"/>
        <w:contextualSpacing w:val="0"/>
        <w:rPr>
          <w:rFonts w:ascii="Gill Sans MT" w:hAnsi="Gill Sans MT"/>
          <w:bCs/>
          <w:szCs w:val="24"/>
        </w:rPr>
      </w:pPr>
      <w:r w:rsidRPr="007D5CFF">
        <w:rPr>
          <w:rFonts w:ascii="Gill Sans MT" w:hAnsi="Gill Sans MT"/>
          <w:bCs/>
          <w:szCs w:val="24"/>
        </w:rPr>
        <w:t xml:space="preserve">The Assessment Guidelines </w:t>
      </w:r>
      <w:r w:rsidR="005C35B1">
        <w:rPr>
          <w:rFonts w:ascii="Gill Sans MT" w:hAnsi="Gill Sans MT"/>
          <w:bCs/>
          <w:szCs w:val="24"/>
        </w:rPr>
        <w:t>in respect of</w:t>
      </w:r>
      <w:r w:rsidR="007D5CFF" w:rsidRPr="007D5CFF">
        <w:rPr>
          <w:rFonts w:ascii="Gill Sans MT" w:hAnsi="Gill Sans MT"/>
          <w:bCs/>
          <w:szCs w:val="24"/>
        </w:rPr>
        <w:t xml:space="preserve"> </w:t>
      </w:r>
      <w:r w:rsidRPr="007D5CFF">
        <w:rPr>
          <w:rFonts w:ascii="Gill Sans MT" w:hAnsi="Gill Sans MT"/>
          <w:bCs/>
          <w:szCs w:val="24"/>
        </w:rPr>
        <w:t>the major project have been satisfied;</w:t>
      </w:r>
    </w:p>
    <w:p w14:paraId="20B0A28E" w14:textId="77777777" w:rsidR="00D54E86" w:rsidRPr="007D5CFF" w:rsidRDefault="00D54E86" w:rsidP="00D54E86">
      <w:pPr>
        <w:pStyle w:val="ListParagraph"/>
        <w:numPr>
          <w:ilvl w:val="0"/>
          <w:numId w:val="41"/>
        </w:numPr>
        <w:spacing w:after="0"/>
        <w:ind w:left="714" w:hanging="357"/>
        <w:contextualSpacing w:val="0"/>
        <w:rPr>
          <w:rFonts w:ascii="Gill Sans MT" w:hAnsi="Gill Sans MT"/>
          <w:bCs/>
          <w:szCs w:val="24"/>
        </w:rPr>
      </w:pPr>
      <w:r w:rsidRPr="007D5CFF">
        <w:rPr>
          <w:rFonts w:ascii="Gill Sans MT" w:hAnsi="Gill Sans MT"/>
          <w:bCs/>
          <w:szCs w:val="24"/>
        </w:rPr>
        <w:t>All relevant fees have been paid; and</w:t>
      </w:r>
    </w:p>
    <w:p w14:paraId="3358EEEA" w14:textId="77777777" w:rsidR="00D54E86" w:rsidRPr="007D5CFF" w:rsidRDefault="00D54E86" w:rsidP="00D54E86">
      <w:pPr>
        <w:pStyle w:val="ListParagraph"/>
        <w:numPr>
          <w:ilvl w:val="0"/>
          <w:numId w:val="41"/>
        </w:numPr>
        <w:spacing w:after="0"/>
        <w:ind w:left="714" w:hanging="357"/>
        <w:contextualSpacing w:val="0"/>
        <w:rPr>
          <w:rFonts w:ascii="Gill Sans MT" w:hAnsi="Gill Sans MT"/>
          <w:bCs/>
          <w:szCs w:val="24"/>
        </w:rPr>
      </w:pPr>
      <w:r w:rsidRPr="007D5CFF">
        <w:rPr>
          <w:rFonts w:ascii="Gill Sans MT" w:hAnsi="Gill Sans MT"/>
          <w:bCs/>
          <w:szCs w:val="24"/>
        </w:rPr>
        <w:t>The Panel has received a participating regulator’s final advice.</w:t>
      </w:r>
    </w:p>
    <w:p w14:paraId="75D24BDD" w14:textId="77777777" w:rsidR="00D54E86" w:rsidRPr="007D5CFF" w:rsidRDefault="00D54E86" w:rsidP="00D54E86">
      <w:pPr>
        <w:pStyle w:val="Default"/>
        <w:spacing w:before="240" w:after="120" w:line="276" w:lineRule="auto"/>
        <w:rPr>
          <w:rFonts w:cs="Times New Roman"/>
          <w:bCs/>
          <w:color w:val="auto"/>
          <w:lang w:eastAsia="en-US"/>
        </w:rPr>
      </w:pPr>
      <w:r w:rsidRPr="007D5CFF">
        <w:rPr>
          <w:rFonts w:cs="Times New Roman"/>
          <w:bCs/>
          <w:color w:val="auto"/>
          <w:lang w:eastAsia="en-US"/>
        </w:rPr>
        <w:t>The Panel may grant a Major Project Permit even though the use or development permitted by the permit would not be permitted under a planning scheme or a Local Provisions Schedule that applies to the land to which the permit relates.</w:t>
      </w:r>
    </w:p>
    <w:p w14:paraId="2B97CBDD" w14:textId="439D617C" w:rsidR="00D63D33" w:rsidRDefault="00D54E86" w:rsidP="00D63D33">
      <w:pPr>
        <w:pStyle w:val="Default"/>
        <w:spacing w:before="240" w:after="120" w:line="276" w:lineRule="auto"/>
        <w:rPr>
          <w:rFonts w:cs="Times New Roman"/>
          <w:bCs/>
          <w:color w:val="auto"/>
          <w:lang w:eastAsia="en-US"/>
        </w:rPr>
      </w:pPr>
      <w:r w:rsidRPr="007D5CFF">
        <w:rPr>
          <w:rFonts w:cs="Times New Roman"/>
          <w:bCs/>
          <w:color w:val="auto"/>
          <w:lang w:eastAsia="en-US"/>
        </w:rPr>
        <w:t xml:space="preserve">In this case, the Commission, in </w:t>
      </w:r>
      <w:r w:rsidRPr="007D5CFF">
        <w:rPr>
          <w:bCs/>
          <w:color w:val="auto"/>
        </w:rPr>
        <w:t xml:space="preserve">consultation with the relevant planning authority, would amend </w:t>
      </w:r>
      <w:r w:rsidRPr="00D63D33">
        <w:rPr>
          <w:rFonts w:cs="Times New Roman"/>
          <w:bCs/>
          <w:color w:val="auto"/>
          <w:lang w:eastAsia="en-US"/>
        </w:rPr>
        <w:t xml:space="preserve">the </w:t>
      </w:r>
      <w:r w:rsidRPr="007D5CFF">
        <w:rPr>
          <w:rFonts w:cs="Times New Roman"/>
          <w:bCs/>
          <w:color w:val="auto"/>
          <w:lang w:eastAsia="en-US"/>
        </w:rPr>
        <w:t xml:space="preserve">planning scheme or </w:t>
      </w:r>
      <w:r w:rsidRPr="00D63D33">
        <w:rPr>
          <w:rFonts w:cs="Times New Roman"/>
          <w:bCs/>
          <w:color w:val="auto"/>
          <w:lang w:eastAsia="en-US"/>
        </w:rPr>
        <w:t>Local Provisions Schedule to remove any inconsistency.</w:t>
      </w:r>
    </w:p>
    <w:p w14:paraId="4D6FBC86" w14:textId="1387606F" w:rsidR="001C2251" w:rsidRPr="00CF7EAE" w:rsidRDefault="00195566" w:rsidP="00D63D33">
      <w:pPr>
        <w:pStyle w:val="Default"/>
        <w:spacing w:before="240" w:after="120" w:line="276" w:lineRule="auto"/>
        <w:rPr>
          <w:rFonts w:cs="Times New Roman"/>
          <w:bCs/>
          <w:iCs/>
          <w:color w:val="auto"/>
          <w:lang w:eastAsia="en-US"/>
        </w:rPr>
      </w:pPr>
      <w:r>
        <w:rPr>
          <w:rFonts w:cs="Times New Roman"/>
          <w:bCs/>
          <w:iCs/>
          <w:color w:val="auto"/>
          <w:lang w:eastAsia="en-US"/>
        </w:rPr>
        <w:t>In summary</w:t>
      </w:r>
      <w:r w:rsidR="00900E6C">
        <w:rPr>
          <w:rFonts w:cs="Times New Roman"/>
          <w:bCs/>
          <w:iCs/>
          <w:color w:val="auto"/>
          <w:lang w:eastAsia="en-US"/>
        </w:rPr>
        <w:t>, a</w:t>
      </w:r>
      <w:r w:rsidR="00E44016" w:rsidRPr="00D63D33">
        <w:rPr>
          <w:rFonts w:cs="Times New Roman"/>
          <w:bCs/>
          <w:iCs/>
          <w:color w:val="auto"/>
          <w:lang w:eastAsia="en-US"/>
        </w:rPr>
        <w:t xml:space="preserve"> Major Project Permit </w:t>
      </w:r>
      <w:r w:rsidR="007926BC">
        <w:rPr>
          <w:rFonts w:cs="Times New Roman"/>
          <w:bCs/>
          <w:iCs/>
          <w:color w:val="auto"/>
          <w:lang w:eastAsia="en-US"/>
        </w:rPr>
        <w:t>is granted</w:t>
      </w:r>
      <w:r w:rsidR="00E44016" w:rsidRPr="00D63D33">
        <w:rPr>
          <w:rFonts w:cs="Times New Roman"/>
          <w:bCs/>
          <w:iCs/>
          <w:color w:val="auto"/>
          <w:lang w:eastAsia="en-US"/>
        </w:rPr>
        <w:t xml:space="preserve"> with </w:t>
      </w:r>
      <w:r w:rsidR="007926BC">
        <w:rPr>
          <w:rFonts w:cs="Times New Roman"/>
          <w:bCs/>
          <w:iCs/>
          <w:color w:val="auto"/>
          <w:lang w:eastAsia="en-US"/>
        </w:rPr>
        <w:t>any specified</w:t>
      </w:r>
      <w:r w:rsidR="00E44016" w:rsidRPr="00D63D33">
        <w:rPr>
          <w:rFonts w:cs="Times New Roman"/>
          <w:bCs/>
          <w:iCs/>
          <w:color w:val="auto"/>
          <w:lang w:eastAsia="en-US"/>
        </w:rPr>
        <w:t xml:space="preserve"> </w:t>
      </w:r>
      <w:r w:rsidR="00F13132">
        <w:rPr>
          <w:rFonts w:cs="Times New Roman"/>
          <w:bCs/>
          <w:iCs/>
          <w:color w:val="auto"/>
          <w:lang w:eastAsia="en-US"/>
        </w:rPr>
        <w:t>IPPCCs,</w:t>
      </w:r>
      <w:r w:rsidR="00E44016" w:rsidRPr="00D63D33">
        <w:rPr>
          <w:rFonts w:cs="Times New Roman"/>
          <w:bCs/>
          <w:iCs/>
          <w:color w:val="auto"/>
          <w:lang w:eastAsia="en-US"/>
        </w:rPr>
        <w:t xml:space="preserve"> but </w:t>
      </w:r>
      <w:r w:rsidR="007926BC">
        <w:rPr>
          <w:rFonts w:cs="Times New Roman"/>
          <w:bCs/>
          <w:iCs/>
          <w:color w:val="auto"/>
          <w:lang w:eastAsia="en-US"/>
        </w:rPr>
        <w:t xml:space="preserve">the permit </w:t>
      </w:r>
      <w:r>
        <w:rPr>
          <w:rFonts w:cs="Times New Roman"/>
          <w:bCs/>
          <w:iCs/>
          <w:color w:val="auto"/>
          <w:lang w:eastAsia="en-US"/>
        </w:rPr>
        <w:t>can</w:t>
      </w:r>
      <w:r w:rsidR="00E44016" w:rsidRPr="00D63D33">
        <w:rPr>
          <w:rFonts w:cs="Times New Roman"/>
          <w:bCs/>
          <w:iCs/>
          <w:color w:val="auto"/>
          <w:lang w:eastAsia="en-US"/>
        </w:rPr>
        <w:t xml:space="preserve"> only commence once the </w:t>
      </w:r>
      <w:r w:rsidR="00891F05">
        <w:rPr>
          <w:rFonts w:cs="Times New Roman"/>
          <w:bCs/>
          <w:iCs/>
          <w:color w:val="auto"/>
          <w:lang w:eastAsia="en-US"/>
        </w:rPr>
        <w:t xml:space="preserve">required </w:t>
      </w:r>
      <w:r w:rsidR="00E44016" w:rsidRPr="00D63D33">
        <w:rPr>
          <w:rFonts w:cs="Times New Roman"/>
          <w:bCs/>
          <w:iCs/>
          <w:color w:val="auto"/>
          <w:lang w:eastAsia="en-US"/>
        </w:rPr>
        <w:t>documentation</w:t>
      </w:r>
      <w:r w:rsidR="007926BC">
        <w:rPr>
          <w:rFonts w:cs="Times New Roman"/>
          <w:bCs/>
          <w:iCs/>
          <w:color w:val="auto"/>
          <w:lang w:eastAsia="en-US"/>
        </w:rPr>
        <w:t xml:space="preserve"> in relation to the IPPCCs</w:t>
      </w:r>
      <w:r w:rsidR="00E44016" w:rsidRPr="00D63D33">
        <w:rPr>
          <w:rFonts w:cs="Times New Roman"/>
          <w:bCs/>
          <w:iCs/>
          <w:color w:val="auto"/>
          <w:lang w:eastAsia="en-US"/>
        </w:rPr>
        <w:t xml:space="preserve"> has been assessed and approved by the participating regulators</w:t>
      </w:r>
      <w:r w:rsidR="00622188" w:rsidRPr="00D63D33">
        <w:rPr>
          <w:rFonts w:cs="Times New Roman"/>
          <w:iCs/>
          <w:color w:val="auto"/>
          <w:lang w:eastAsia="en-US"/>
        </w:rPr>
        <w:t xml:space="preserve"> and all </w:t>
      </w:r>
      <w:r w:rsidR="00D63D33" w:rsidRPr="00D63D33">
        <w:rPr>
          <w:rFonts w:cs="Times New Roman"/>
          <w:iCs/>
          <w:color w:val="auto"/>
          <w:lang w:eastAsia="en-US"/>
        </w:rPr>
        <w:t xml:space="preserve">the relevant </w:t>
      </w:r>
      <w:r w:rsidR="00622188" w:rsidRPr="00D63D33">
        <w:rPr>
          <w:rFonts w:cs="Times New Roman"/>
          <w:iCs/>
          <w:color w:val="auto"/>
          <w:lang w:eastAsia="en-US"/>
        </w:rPr>
        <w:t>fees have been paid (see Fact Sheet</w:t>
      </w:r>
      <w:r w:rsidR="006851BF">
        <w:rPr>
          <w:rFonts w:cs="Times New Roman"/>
          <w:iCs/>
          <w:color w:val="auto"/>
          <w:lang w:eastAsia="en-US"/>
        </w:rPr>
        <w:t>s 3 &amp;</w:t>
      </w:r>
      <w:r w:rsidR="00622188" w:rsidRPr="00D63D33">
        <w:rPr>
          <w:rFonts w:cs="Times New Roman"/>
          <w:iCs/>
          <w:color w:val="auto"/>
          <w:lang w:eastAsia="en-US"/>
        </w:rPr>
        <w:t xml:space="preserve"> 7)</w:t>
      </w:r>
      <w:r w:rsidR="00E44016" w:rsidRPr="00D63D33">
        <w:rPr>
          <w:rFonts w:cs="Times New Roman"/>
          <w:bCs/>
          <w:iCs/>
          <w:color w:val="auto"/>
          <w:lang w:eastAsia="en-US"/>
        </w:rPr>
        <w:t>.</w:t>
      </w:r>
    </w:p>
    <w:p w14:paraId="54E33BE3" w14:textId="77777777" w:rsidR="00A73673" w:rsidRDefault="00A73673" w:rsidP="00A73673">
      <w:pPr>
        <w:pStyle w:val="Heading2"/>
      </w:pPr>
      <w:r>
        <w:t>What consultation has there been so far?</w:t>
      </w:r>
    </w:p>
    <w:p w14:paraId="2C7D4AC2" w14:textId="77777777" w:rsidR="00A73673" w:rsidRDefault="00A73673" w:rsidP="00A73673">
      <w:pPr>
        <w:spacing w:after="120"/>
        <w:rPr>
          <w:rFonts w:ascii="Gill Sans MT" w:hAnsi="Gill Sans MT"/>
          <w:bCs/>
          <w:szCs w:val="24"/>
        </w:rPr>
      </w:pPr>
      <w:r>
        <w:rPr>
          <w:rFonts w:ascii="Gill Sans MT" w:hAnsi="Gill Sans MT"/>
          <w:bCs/>
          <w:szCs w:val="24"/>
        </w:rPr>
        <w:t xml:space="preserve">The draft Bill has been developed in consultation with the Planning Reform Taskforce and key State Government agencies. The Commonwealth Department of the Environment and Energy has also been consulted on the proposal to seek accreditation of the new process under the </w:t>
      </w:r>
      <w:r>
        <w:rPr>
          <w:rFonts w:ascii="Gill Sans MT" w:hAnsi="Gill Sans MT"/>
          <w:bCs/>
          <w:szCs w:val="24"/>
        </w:rPr>
        <w:lastRenderedPageBreak/>
        <w:t>Bilateral Agreement between Tasmania and the Commonwealth on environmental assessments under the EPBC Act.</w:t>
      </w:r>
    </w:p>
    <w:p w14:paraId="5DA9BF67" w14:textId="77777777" w:rsidR="00A73673" w:rsidRDefault="00A73673" w:rsidP="00A73673">
      <w:pPr>
        <w:spacing w:after="120"/>
        <w:rPr>
          <w:rFonts w:ascii="Gill Sans MT" w:hAnsi="Gill Sans MT"/>
          <w:bCs/>
          <w:szCs w:val="24"/>
        </w:rPr>
      </w:pPr>
      <w:r>
        <w:rPr>
          <w:rFonts w:ascii="Gill Sans MT" w:hAnsi="Gill Sans MT"/>
          <w:bCs/>
          <w:szCs w:val="24"/>
        </w:rPr>
        <w:t>The first period for comment on the draft Bill closed on 2 October 2017 and 198 submissions were received. The submissions raised a number of issues that have been considered by the Government in preparing this revised draft Bill.</w:t>
      </w:r>
    </w:p>
    <w:p w14:paraId="5420C4D5" w14:textId="77777777" w:rsidR="00A73673" w:rsidRDefault="00A73673" w:rsidP="00A73673">
      <w:pPr>
        <w:pStyle w:val="Heading2"/>
      </w:pPr>
      <w:r>
        <w:t>Where do I find the revised draft Bill?</w:t>
      </w:r>
    </w:p>
    <w:p w14:paraId="082C073C" w14:textId="77777777" w:rsidR="00A73673" w:rsidRDefault="00A73673" w:rsidP="00A73673">
      <w:pPr>
        <w:spacing w:after="0"/>
        <w:rPr>
          <w:rFonts w:ascii="Gill Sans MT" w:hAnsi="Gill Sans MT"/>
        </w:rPr>
      </w:pPr>
      <w:r>
        <w:rPr>
          <w:rFonts w:ascii="Gill Sans MT" w:hAnsi="Gill Sans MT"/>
          <w:bCs/>
          <w:szCs w:val="24"/>
        </w:rPr>
        <w:t xml:space="preserve">A copy of the revised draft Bill, a second Consultation Paper and the accompanying seven Fact Sheets are available at </w:t>
      </w:r>
      <w:hyperlink r:id="rId10" w:history="1">
        <w:r w:rsidRPr="00A73673">
          <w:rPr>
            <w:rStyle w:val="Hyperlink"/>
            <w:rFonts w:ascii="Gill Sans MT" w:hAnsi="Gill Sans MT"/>
            <w:bCs/>
            <w:szCs w:val="24"/>
          </w:rPr>
          <w:t>www.planningreform.tas.gov.au</w:t>
        </w:r>
      </w:hyperlink>
      <w:r w:rsidRPr="00A73673">
        <w:rPr>
          <w:rFonts w:ascii="Gill Sans MT" w:hAnsi="Gill Sans MT"/>
          <w:bCs/>
          <w:szCs w:val="24"/>
        </w:rPr>
        <w:t xml:space="preserve"> or at </w:t>
      </w:r>
      <w:hyperlink r:id="rId11" w:history="1">
        <w:r w:rsidRPr="00A73673">
          <w:rPr>
            <w:rStyle w:val="Hyperlink"/>
            <w:rFonts w:ascii="Gill Sans MT" w:hAnsi="Gill Sans MT"/>
            <w:bCs/>
            <w:szCs w:val="24"/>
          </w:rPr>
          <w:t>www.justice.tas.gov.au</w:t>
        </w:r>
      </w:hyperlink>
      <w:r w:rsidRPr="00A73673">
        <w:rPr>
          <w:rFonts w:ascii="Gill Sans MT" w:hAnsi="Gill Sans MT"/>
        </w:rPr>
        <w:t>.</w:t>
      </w:r>
    </w:p>
    <w:p w14:paraId="25200C25" w14:textId="77777777" w:rsidR="00CF7EAE" w:rsidRDefault="00CF7EAE" w:rsidP="00CF7EAE">
      <w:pPr>
        <w:pStyle w:val="Heading2"/>
      </w:pPr>
      <w:r>
        <w:t>How can I comment?</w:t>
      </w:r>
    </w:p>
    <w:p w14:paraId="597E9B11" w14:textId="77777777" w:rsidR="00CF7EAE" w:rsidRDefault="00CF7EAE" w:rsidP="00CF7EAE">
      <w:pPr>
        <w:spacing w:after="120"/>
        <w:rPr>
          <w:rFonts w:ascii="Gill Sans MT" w:hAnsi="Gill Sans MT"/>
          <w:bCs/>
          <w:szCs w:val="24"/>
        </w:rPr>
      </w:pPr>
      <w:r>
        <w:rPr>
          <w:rFonts w:ascii="Gill Sans MT" w:hAnsi="Gill Sans MT"/>
          <w:bCs/>
          <w:szCs w:val="24"/>
        </w:rPr>
        <w:t>Comment on the proposed changes to the draft Bill are invited by</w:t>
      </w:r>
      <w:r>
        <w:rPr>
          <w:rFonts w:ascii="Gill Sans MT" w:hAnsi="Gill Sans MT"/>
          <w:b/>
          <w:bCs/>
          <w:szCs w:val="24"/>
        </w:rPr>
        <w:t xml:space="preserve"> </w:t>
      </w:r>
      <w:r>
        <w:rPr>
          <w:rFonts w:ascii="Gill Sans MT" w:hAnsi="Gill Sans MT"/>
          <w:b/>
        </w:rPr>
        <w:t>Monday, 29 January 2018</w:t>
      </w:r>
      <w:r>
        <w:rPr>
          <w:rFonts w:ascii="Gill Sans MT" w:hAnsi="Gill Sans MT"/>
          <w:bCs/>
          <w:szCs w:val="24"/>
        </w:rPr>
        <w:t xml:space="preserve">. Comments should be marked ‘Major Projects Reform’ and can be emailed to </w:t>
      </w:r>
      <w:hyperlink r:id="rId12" w:history="1">
        <w:r w:rsidRPr="00CF7EAE">
          <w:rPr>
            <w:rStyle w:val="Hyperlink"/>
            <w:rFonts w:ascii="Gill Sans MT" w:hAnsi="Gill Sans MT"/>
            <w:bCs/>
            <w:szCs w:val="24"/>
          </w:rPr>
          <w:t>Planning.Unit@justice.tas.gov.au</w:t>
        </w:r>
      </w:hyperlink>
      <w:r>
        <w:rPr>
          <w:rFonts w:ascii="Gill Sans MT" w:hAnsi="Gill Sans MT"/>
          <w:bCs/>
          <w:szCs w:val="24"/>
        </w:rPr>
        <w:t xml:space="preserve"> or posted to:</w:t>
      </w:r>
    </w:p>
    <w:p w14:paraId="690FBAC8" w14:textId="77777777" w:rsidR="00CF7EAE" w:rsidRDefault="00CF7EAE" w:rsidP="00CF7EAE">
      <w:pPr>
        <w:spacing w:before="0" w:after="0"/>
        <w:ind w:left="720"/>
        <w:rPr>
          <w:rFonts w:ascii="Gill Sans MT" w:hAnsi="Gill Sans MT"/>
          <w:bCs/>
          <w:szCs w:val="24"/>
        </w:rPr>
      </w:pPr>
      <w:r>
        <w:rPr>
          <w:rFonts w:ascii="Gill Sans MT" w:hAnsi="Gill Sans MT"/>
          <w:bCs/>
          <w:szCs w:val="24"/>
        </w:rPr>
        <w:t>Planning Policy Unit</w:t>
      </w:r>
    </w:p>
    <w:p w14:paraId="1B7D822B" w14:textId="77777777" w:rsidR="00CF7EAE" w:rsidRDefault="00CF7EAE" w:rsidP="00CF7EAE">
      <w:pPr>
        <w:spacing w:before="0" w:after="0"/>
        <w:ind w:left="720"/>
        <w:rPr>
          <w:rFonts w:ascii="Gill Sans MT" w:hAnsi="Gill Sans MT"/>
          <w:bCs/>
          <w:szCs w:val="24"/>
        </w:rPr>
      </w:pPr>
      <w:r>
        <w:rPr>
          <w:rFonts w:ascii="Gill Sans MT" w:hAnsi="Gill Sans MT"/>
          <w:bCs/>
          <w:szCs w:val="24"/>
        </w:rPr>
        <w:t xml:space="preserve">Department of Justice </w:t>
      </w:r>
    </w:p>
    <w:p w14:paraId="38F77A99" w14:textId="77777777" w:rsidR="00CF7EAE" w:rsidRDefault="00CF7EAE" w:rsidP="00CF7EAE">
      <w:pPr>
        <w:spacing w:before="0" w:after="0"/>
        <w:ind w:left="720"/>
        <w:rPr>
          <w:rFonts w:ascii="Gill Sans MT" w:hAnsi="Gill Sans MT"/>
          <w:bCs/>
          <w:szCs w:val="24"/>
        </w:rPr>
      </w:pPr>
      <w:r>
        <w:rPr>
          <w:rFonts w:ascii="Gill Sans MT" w:hAnsi="Gill Sans MT"/>
          <w:bCs/>
          <w:szCs w:val="24"/>
        </w:rPr>
        <w:t xml:space="preserve">GPO Box 825  </w:t>
      </w:r>
    </w:p>
    <w:p w14:paraId="0927044C" w14:textId="77777777" w:rsidR="00CF7EAE" w:rsidRDefault="00CF7EAE" w:rsidP="00CF7EAE">
      <w:pPr>
        <w:spacing w:before="0" w:after="120"/>
        <w:ind w:left="720"/>
        <w:rPr>
          <w:rFonts w:ascii="Gill Sans MT" w:hAnsi="Gill Sans MT"/>
          <w:bCs/>
          <w:szCs w:val="24"/>
        </w:rPr>
      </w:pPr>
      <w:r>
        <w:rPr>
          <w:rFonts w:ascii="Gill Sans MT" w:hAnsi="Gill Sans MT"/>
          <w:bCs/>
          <w:szCs w:val="24"/>
        </w:rPr>
        <w:t>HOBART  TAS  7001</w:t>
      </w:r>
    </w:p>
    <w:p w14:paraId="38DC7A60" w14:textId="77777777" w:rsidR="00CF7EAE" w:rsidRDefault="00CF7EAE" w:rsidP="00CF7EAE">
      <w:pPr>
        <w:spacing w:after="120"/>
        <w:rPr>
          <w:rFonts w:ascii="Gill Sans MT" w:hAnsi="Gill Sans MT"/>
          <w:bCs/>
          <w:szCs w:val="24"/>
        </w:rPr>
      </w:pPr>
      <w:r>
        <w:rPr>
          <w:rFonts w:ascii="Gill Sans MT" w:hAnsi="Gill Sans MT"/>
          <w:bCs/>
          <w:szCs w:val="24"/>
        </w:rPr>
        <w:t>Further enquiries can be directed to the Planning Policy Unit at the above email address or by telephoning (03) 6166 1429.</w:t>
      </w:r>
    </w:p>
    <w:p w14:paraId="7D4F9980" w14:textId="77777777" w:rsidR="00CF7EAE" w:rsidRDefault="00CF7EAE" w:rsidP="00CF7EAE">
      <w:pPr>
        <w:spacing w:after="120"/>
        <w:rPr>
          <w:rFonts w:ascii="Gill Sans MT" w:hAnsi="Gill Sans MT"/>
          <w:bCs/>
          <w:szCs w:val="24"/>
        </w:rPr>
      </w:pPr>
    </w:p>
    <w:p w14:paraId="71C0C187" w14:textId="77777777" w:rsidR="00CF7EAE" w:rsidRDefault="00CF7EAE" w:rsidP="00CF7EAE">
      <w:pPr>
        <w:spacing w:after="120"/>
        <w:rPr>
          <w:rFonts w:ascii="Gill Sans MT" w:hAnsi="Gill Sans MT"/>
          <w:bCs/>
          <w:szCs w:val="24"/>
        </w:rPr>
      </w:pPr>
      <w:r>
        <w:rPr>
          <w:rFonts w:ascii="Gill Sans MT" w:hAnsi="Gill Sans MT"/>
          <w:bCs/>
          <w:szCs w:val="24"/>
        </w:rPr>
        <w:t>December 2017</w:t>
      </w:r>
    </w:p>
    <w:p w14:paraId="157D3800" w14:textId="77777777" w:rsidR="00CF7EAE" w:rsidRPr="00D63D33" w:rsidRDefault="00CF7EAE" w:rsidP="00D63D33">
      <w:pPr>
        <w:pStyle w:val="Default"/>
        <w:spacing w:before="240" w:after="120" w:line="276" w:lineRule="auto"/>
        <w:rPr>
          <w:rFonts w:cs="Times New Roman"/>
          <w:bCs/>
          <w:color w:val="auto"/>
          <w:lang w:eastAsia="en-US"/>
        </w:rPr>
      </w:pPr>
    </w:p>
    <w:sectPr w:rsidR="00CF7EAE" w:rsidRPr="00D63D33" w:rsidSect="006D0404">
      <w:headerReference w:type="even" r:id="rId13"/>
      <w:headerReference w:type="default" r:id="rId14"/>
      <w:footerReference w:type="default" r:id="rId15"/>
      <w:headerReference w:type="first" r:id="rId16"/>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67BE79" w14:textId="77777777" w:rsidR="00CA70B5" w:rsidRDefault="00CA70B5">
      <w:pPr>
        <w:spacing w:before="0" w:after="0" w:line="240" w:lineRule="auto"/>
      </w:pPr>
      <w:r>
        <w:separator/>
      </w:r>
    </w:p>
  </w:endnote>
  <w:endnote w:type="continuationSeparator" w:id="0">
    <w:p w14:paraId="2F67117B" w14:textId="77777777" w:rsidR="00CA70B5" w:rsidRDefault="00CA70B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C3186"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4900BCD9" wp14:editId="3C59AA99">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2174A93D"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56F27A49" wp14:editId="2F4A2008">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8D4E8C" w14:textId="77777777" w:rsidR="000A5AB0" w:rsidRDefault="000A5AB0" w:rsidP="007427BF">
    <w:pPr>
      <w:pStyle w:val="Footer"/>
      <w:ind w:left="-567"/>
    </w:pPr>
  </w:p>
  <w:p w14:paraId="2F0B0BFB" w14:textId="77777777" w:rsidR="000A5AB0" w:rsidRDefault="000A5AB0" w:rsidP="007427BF">
    <w:pPr>
      <w:pStyle w:val="Footertext"/>
      <w:ind w:left="-567"/>
    </w:pPr>
    <w:r>
      <w:t>Department of Justice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0A5EE467" w14:textId="2AC75198" w:rsidR="000A5AB0" w:rsidRDefault="000A5AB0">
        <w:pPr>
          <w:pStyle w:val="Footer"/>
          <w:jc w:val="center"/>
        </w:pPr>
        <w:r>
          <w:fldChar w:fldCharType="begin"/>
        </w:r>
        <w:r>
          <w:instrText xml:space="preserve"> PAGE   \* MERGEFORMAT </w:instrText>
        </w:r>
        <w:r>
          <w:fldChar w:fldCharType="separate"/>
        </w:r>
        <w:r w:rsidR="006E51CF">
          <w:rPr>
            <w:noProof/>
          </w:rPr>
          <w:t>4</w:t>
        </w:r>
        <w:r>
          <w:rPr>
            <w:noProof/>
          </w:rPr>
          <w:fldChar w:fldCharType="end"/>
        </w:r>
      </w:p>
    </w:sdtContent>
  </w:sdt>
  <w:p w14:paraId="756CF89D"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9B2C9" w14:textId="77777777" w:rsidR="00CA70B5" w:rsidRDefault="00CA70B5">
      <w:pPr>
        <w:spacing w:before="0" w:after="0" w:line="240" w:lineRule="auto"/>
      </w:pPr>
      <w:r>
        <w:separator/>
      </w:r>
    </w:p>
  </w:footnote>
  <w:footnote w:type="continuationSeparator" w:id="0">
    <w:p w14:paraId="087353B5" w14:textId="77777777" w:rsidR="00CA70B5" w:rsidRDefault="00CA70B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86C75" w14:textId="77777777" w:rsidR="000A5AB0" w:rsidRPr="0098598C" w:rsidRDefault="000A5AB0" w:rsidP="00D86A7F">
    <w:pPr>
      <w:tabs>
        <w:tab w:val="left" w:pos="6804"/>
      </w:tabs>
      <w:rPr>
        <w:rFonts w:ascii="Gill Sans MT" w:hAnsi="Gill Sans MT"/>
        <w:b/>
      </w:rPr>
    </w:pPr>
    <w:r>
      <w:rPr>
        <w:rFonts w:ascii="Gill Sans MT" w:hAnsi="Gill Sans MT"/>
        <w:b/>
      </w:rPr>
      <w:tab/>
    </w:r>
    <w:r w:rsidR="00203CF4">
      <w:rPr>
        <w:rFonts w:ascii="Gill Sans MT" w:hAnsi="Gill Sans MT"/>
        <w:b/>
      </w:rPr>
      <w:t>FACT SHEET 5</w:t>
    </w:r>
  </w:p>
  <w:p w14:paraId="1275AC5C"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7FF56FF2" wp14:editId="05D49FBD">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6A33F" w14:textId="77777777" w:rsidR="000A5AB0" w:rsidRDefault="000A5A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7428B" w14:textId="3DDD35DD" w:rsidR="000A5AB0" w:rsidRPr="00D3760D" w:rsidRDefault="000A5AB0" w:rsidP="00E35BCB">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49BBA0C2" wp14:editId="3E1301C0">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203CF4">
      <w:rPr>
        <w:i/>
        <w:sz w:val="22"/>
      </w:rPr>
      <w:t>FACT SHEET 5</w:t>
    </w:r>
    <w:r w:rsidR="009B1C8D">
      <w:rPr>
        <w:i/>
        <w:sz w:val="22"/>
      </w:rPr>
      <w:t xml:space="preserve"> – </w:t>
    </w:r>
    <w:r w:rsidR="00C972C6">
      <w:rPr>
        <w:i/>
        <w:sz w:val="22"/>
      </w:rPr>
      <w:t xml:space="preserve">major projects assessment reform: </w:t>
    </w:r>
    <w:r w:rsidR="00151D8C">
      <w:rPr>
        <w:i/>
        <w:sz w:val="22"/>
      </w:rPr>
      <w:t>STAGED</w:t>
    </w:r>
    <w:r w:rsidR="00203CF4">
      <w:rPr>
        <w:i/>
        <w:sz w:val="22"/>
      </w:rPr>
      <w:t xml:space="preserve"> approval</w:t>
    </w:r>
    <w:r w:rsidR="00151D8C">
      <w:rPr>
        <w:i/>
        <w:sz w:val="22"/>
      </w:rPr>
      <w:t xml:space="preserve"> PROCESS</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D7FB3D"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AA021CF"/>
    <w:multiLevelType w:val="hybridMultilevel"/>
    <w:tmpl w:val="C786F954"/>
    <w:lvl w:ilvl="0" w:tplc="F3A221BE">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7"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18D1EEE"/>
    <w:multiLevelType w:val="hybridMultilevel"/>
    <w:tmpl w:val="A9CC937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61FF31F6"/>
    <w:multiLevelType w:val="hybridMultilevel"/>
    <w:tmpl w:val="0186F2A4"/>
    <w:lvl w:ilvl="0" w:tplc="33F6BF78">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11"/>
  </w:num>
  <w:num w:numId="3">
    <w:abstractNumId w:val="11"/>
  </w:num>
  <w:num w:numId="4">
    <w:abstractNumId w:val="26"/>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4"/>
  </w:num>
  <w:num w:numId="18">
    <w:abstractNumId w:val="14"/>
  </w:num>
  <w:num w:numId="19">
    <w:abstractNumId w:val="25"/>
  </w:num>
  <w:num w:numId="20">
    <w:abstractNumId w:val="36"/>
  </w:num>
  <w:num w:numId="21">
    <w:abstractNumId w:val="19"/>
  </w:num>
  <w:num w:numId="22">
    <w:abstractNumId w:val="34"/>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num>
  <w:num w:numId="27">
    <w:abstractNumId w:val="21"/>
  </w:num>
  <w:num w:numId="28">
    <w:abstractNumId w:val="12"/>
  </w:num>
  <w:num w:numId="29">
    <w:abstractNumId w:val="32"/>
  </w:num>
  <w:num w:numId="30">
    <w:abstractNumId w:val="28"/>
  </w:num>
  <w:num w:numId="31">
    <w:abstractNumId w:val="16"/>
  </w:num>
  <w:num w:numId="32">
    <w:abstractNumId w:val="27"/>
  </w:num>
  <w:num w:numId="33">
    <w:abstractNumId w:val="18"/>
  </w:num>
  <w:num w:numId="34">
    <w:abstractNumId w:val="24"/>
  </w:num>
  <w:num w:numId="35">
    <w:abstractNumId w:val="31"/>
  </w:num>
  <w:num w:numId="36">
    <w:abstractNumId w:val="22"/>
  </w:num>
  <w:num w:numId="37">
    <w:abstractNumId w:val="17"/>
  </w:num>
  <w:num w:numId="38">
    <w:abstractNumId w:val="33"/>
  </w:num>
  <w:num w:numId="39">
    <w:abstractNumId w:val="30"/>
  </w:num>
  <w:num w:numId="40">
    <w:abstractNumId w:val="2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3769"/>
    <w:rsid w:val="000048D4"/>
    <w:rsid w:val="0001078A"/>
    <w:rsid w:val="000132EE"/>
    <w:rsid w:val="000172FA"/>
    <w:rsid w:val="000234C9"/>
    <w:rsid w:val="00026E37"/>
    <w:rsid w:val="00030200"/>
    <w:rsid w:val="00030EED"/>
    <w:rsid w:val="0003333E"/>
    <w:rsid w:val="00037154"/>
    <w:rsid w:val="0004148F"/>
    <w:rsid w:val="00046514"/>
    <w:rsid w:val="00046D02"/>
    <w:rsid w:val="00052BCE"/>
    <w:rsid w:val="00053079"/>
    <w:rsid w:val="00063304"/>
    <w:rsid w:val="00063BD2"/>
    <w:rsid w:val="00063D60"/>
    <w:rsid w:val="00074280"/>
    <w:rsid w:val="000777AF"/>
    <w:rsid w:val="00082E8D"/>
    <w:rsid w:val="00083861"/>
    <w:rsid w:val="00083877"/>
    <w:rsid w:val="00083A63"/>
    <w:rsid w:val="00083F57"/>
    <w:rsid w:val="00094C1B"/>
    <w:rsid w:val="000A23D8"/>
    <w:rsid w:val="000A3569"/>
    <w:rsid w:val="000A5AB0"/>
    <w:rsid w:val="000C0105"/>
    <w:rsid w:val="000C3544"/>
    <w:rsid w:val="000C4401"/>
    <w:rsid w:val="000D2821"/>
    <w:rsid w:val="000D28E0"/>
    <w:rsid w:val="000E0A75"/>
    <w:rsid w:val="000E3603"/>
    <w:rsid w:val="000E3609"/>
    <w:rsid w:val="000E3F87"/>
    <w:rsid w:val="000F047B"/>
    <w:rsid w:val="000F55A1"/>
    <w:rsid w:val="001004A9"/>
    <w:rsid w:val="001034AC"/>
    <w:rsid w:val="00103611"/>
    <w:rsid w:val="0010544F"/>
    <w:rsid w:val="001174DB"/>
    <w:rsid w:val="00121B2D"/>
    <w:rsid w:val="00125D9C"/>
    <w:rsid w:val="0013034E"/>
    <w:rsid w:val="0013372C"/>
    <w:rsid w:val="00136234"/>
    <w:rsid w:val="0013742D"/>
    <w:rsid w:val="00140099"/>
    <w:rsid w:val="00140D46"/>
    <w:rsid w:val="00141B06"/>
    <w:rsid w:val="00141E3D"/>
    <w:rsid w:val="00147191"/>
    <w:rsid w:val="0014778B"/>
    <w:rsid w:val="00151D8C"/>
    <w:rsid w:val="00155EFC"/>
    <w:rsid w:val="00163D13"/>
    <w:rsid w:val="00170ED6"/>
    <w:rsid w:val="001714B2"/>
    <w:rsid w:val="001743E6"/>
    <w:rsid w:val="00175D4D"/>
    <w:rsid w:val="00181AB6"/>
    <w:rsid w:val="00185CEC"/>
    <w:rsid w:val="00193A96"/>
    <w:rsid w:val="00194E89"/>
    <w:rsid w:val="00194F2E"/>
    <w:rsid w:val="00195566"/>
    <w:rsid w:val="001960B2"/>
    <w:rsid w:val="001A5012"/>
    <w:rsid w:val="001A65D6"/>
    <w:rsid w:val="001B124A"/>
    <w:rsid w:val="001B73D0"/>
    <w:rsid w:val="001C2251"/>
    <w:rsid w:val="001C277C"/>
    <w:rsid w:val="001C40BA"/>
    <w:rsid w:val="001C57D6"/>
    <w:rsid w:val="001C7617"/>
    <w:rsid w:val="001D1800"/>
    <w:rsid w:val="001D4ECA"/>
    <w:rsid w:val="001E20DF"/>
    <w:rsid w:val="001E655D"/>
    <w:rsid w:val="001E71CA"/>
    <w:rsid w:val="0020117E"/>
    <w:rsid w:val="00203CF4"/>
    <w:rsid w:val="00205005"/>
    <w:rsid w:val="0020562C"/>
    <w:rsid w:val="00212EE7"/>
    <w:rsid w:val="00214367"/>
    <w:rsid w:val="00217EB3"/>
    <w:rsid w:val="002201B8"/>
    <w:rsid w:val="002249D1"/>
    <w:rsid w:val="00224C7D"/>
    <w:rsid w:val="00231418"/>
    <w:rsid w:val="00232ADC"/>
    <w:rsid w:val="00236222"/>
    <w:rsid w:val="00242AFD"/>
    <w:rsid w:val="002441E0"/>
    <w:rsid w:val="00244739"/>
    <w:rsid w:val="00245B6E"/>
    <w:rsid w:val="00251AE7"/>
    <w:rsid w:val="00251AF0"/>
    <w:rsid w:val="0025531E"/>
    <w:rsid w:val="00261906"/>
    <w:rsid w:val="00262701"/>
    <w:rsid w:val="00264AEC"/>
    <w:rsid w:val="00264BF4"/>
    <w:rsid w:val="00264F50"/>
    <w:rsid w:val="002674D5"/>
    <w:rsid w:val="00270E65"/>
    <w:rsid w:val="0027322B"/>
    <w:rsid w:val="00276EC6"/>
    <w:rsid w:val="002833F9"/>
    <w:rsid w:val="002879D2"/>
    <w:rsid w:val="0029059D"/>
    <w:rsid w:val="0029278F"/>
    <w:rsid w:val="00296961"/>
    <w:rsid w:val="002970F7"/>
    <w:rsid w:val="002A3667"/>
    <w:rsid w:val="002A46B4"/>
    <w:rsid w:val="002B49F5"/>
    <w:rsid w:val="002B57D3"/>
    <w:rsid w:val="002B6D13"/>
    <w:rsid w:val="002C0871"/>
    <w:rsid w:val="002C5CE1"/>
    <w:rsid w:val="002D17EB"/>
    <w:rsid w:val="002D3D0E"/>
    <w:rsid w:val="002E3AB6"/>
    <w:rsid w:val="002F0413"/>
    <w:rsid w:val="002F3A08"/>
    <w:rsid w:val="002F47A3"/>
    <w:rsid w:val="002F55E2"/>
    <w:rsid w:val="002F5CDD"/>
    <w:rsid w:val="002F7BFB"/>
    <w:rsid w:val="00300F38"/>
    <w:rsid w:val="00302252"/>
    <w:rsid w:val="00312FC8"/>
    <w:rsid w:val="00317315"/>
    <w:rsid w:val="00321E42"/>
    <w:rsid w:val="00325A94"/>
    <w:rsid w:val="00327AE8"/>
    <w:rsid w:val="003301BF"/>
    <w:rsid w:val="00331AE8"/>
    <w:rsid w:val="00334D89"/>
    <w:rsid w:val="003352A3"/>
    <w:rsid w:val="003419B7"/>
    <w:rsid w:val="00354BE7"/>
    <w:rsid w:val="00363F51"/>
    <w:rsid w:val="00365665"/>
    <w:rsid w:val="00371572"/>
    <w:rsid w:val="00381AC8"/>
    <w:rsid w:val="00384F27"/>
    <w:rsid w:val="003979E4"/>
    <w:rsid w:val="003A0D9B"/>
    <w:rsid w:val="003A5F73"/>
    <w:rsid w:val="003A6AE5"/>
    <w:rsid w:val="003B64C0"/>
    <w:rsid w:val="003C1BBA"/>
    <w:rsid w:val="003C7966"/>
    <w:rsid w:val="003D249D"/>
    <w:rsid w:val="003D5B60"/>
    <w:rsid w:val="003E102A"/>
    <w:rsid w:val="003E3747"/>
    <w:rsid w:val="003E40A0"/>
    <w:rsid w:val="003E73F7"/>
    <w:rsid w:val="003F26EB"/>
    <w:rsid w:val="00400367"/>
    <w:rsid w:val="004047FE"/>
    <w:rsid w:val="00406AA8"/>
    <w:rsid w:val="00412328"/>
    <w:rsid w:val="004150FE"/>
    <w:rsid w:val="00421141"/>
    <w:rsid w:val="00421388"/>
    <w:rsid w:val="004236F7"/>
    <w:rsid w:val="00425C13"/>
    <w:rsid w:val="00430AFA"/>
    <w:rsid w:val="004403A7"/>
    <w:rsid w:val="00440FEA"/>
    <w:rsid w:val="00443BDF"/>
    <w:rsid w:val="00451D8E"/>
    <w:rsid w:val="0045318A"/>
    <w:rsid w:val="0045330D"/>
    <w:rsid w:val="00463698"/>
    <w:rsid w:val="00467432"/>
    <w:rsid w:val="00472EDE"/>
    <w:rsid w:val="00474916"/>
    <w:rsid w:val="004808FF"/>
    <w:rsid w:val="00481BCA"/>
    <w:rsid w:val="004842B9"/>
    <w:rsid w:val="004931EC"/>
    <w:rsid w:val="00493356"/>
    <w:rsid w:val="004939BD"/>
    <w:rsid w:val="00496BFC"/>
    <w:rsid w:val="004A1079"/>
    <w:rsid w:val="004A2120"/>
    <w:rsid w:val="004B05EE"/>
    <w:rsid w:val="004B3950"/>
    <w:rsid w:val="004B3D99"/>
    <w:rsid w:val="004C3C9C"/>
    <w:rsid w:val="004C7AB2"/>
    <w:rsid w:val="004D21CF"/>
    <w:rsid w:val="004D60A9"/>
    <w:rsid w:val="004E37C0"/>
    <w:rsid w:val="004E5A5F"/>
    <w:rsid w:val="004E742A"/>
    <w:rsid w:val="005063F5"/>
    <w:rsid w:val="00514A3D"/>
    <w:rsid w:val="00520DA5"/>
    <w:rsid w:val="005224BB"/>
    <w:rsid w:val="00523A3A"/>
    <w:rsid w:val="00530355"/>
    <w:rsid w:val="00531B34"/>
    <w:rsid w:val="00541AB4"/>
    <w:rsid w:val="00544BEB"/>
    <w:rsid w:val="00550805"/>
    <w:rsid w:val="005535E8"/>
    <w:rsid w:val="00556D33"/>
    <w:rsid w:val="00557686"/>
    <w:rsid w:val="00557C2A"/>
    <w:rsid w:val="005614D6"/>
    <w:rsid w:val="00565935"/>
    <w:rsid w:val="00571E1E"/>
    <w:rsid w:val="005759AA"/>
    <w:rsid w:val="0057666D"/>
    <w:rsid w:val="00576C6A"/>
    <w:rsid w:val="00590C05"/>
    <w:rsid w:val="005946CF"/>
    <w:rsid w:val="005A2317"/>
    <w:rsid w:val="005A4547"/>
    <w:rsid w:val="005A5CB7"/>
    <w:rsid w:val="005A65C1"/>
    <w:rsid w:val="005A6A30"/>
    <w:rsid w:val="005A713C"/>
    <w:rsid w:val="005B672A"/>
    <w:rsid w:val="005B7366"/>
    <w:rsid w:val="005C2245"/>
    <w:rsid w:val="005C2ABA"/>
    <w:rsid w:val="005C35B1"/>
    <w:rsid w:val="005C7706"/>
    <w:rsid w:val="005D2C08"/>
    <w:rsid w:val="005D7791"/>
    <w:rsid w:val="005D7A05"/>
    <w:rsid w:val="005E4304"/>
    <w:rsid w:val="005E510E"/>
    <w:rsid w:val="005F1BBF"/>
    <w:rsid w:val="006045F3"/>
    <w:rsid w:val="0060488C"/>
    <w:rsid w:val="00605588"/>
    <w:rsid w:val="00622188"/>
    <w:rsid w:val="00636C3D"/>
    <w:rsid w:val="00640506"/>
    <w:rsid w:val="00640E26"/>
    <w:rsid w:val="00642F24"/>
    <w:rsid w:val="00647123"/>
    <w:rsid w:val="00655521"/>
    <w:rsid w:val="00657CBF"/>
    <w:rsid w:val="0066061E"/>
    <w:rsid w:val="0066072A"/>
    <w:rsid w:val="006626FA"/>
    <w:rsid w:val="00662B87"/>
    <w:rsid w:val="00664D80"/>
    <w:rsid w:val="006851BF"/>
    <w:rsid w:val="006927CC"/>
    <w:rsid w:val="006A2D8C"/>
    <w:rsid w:val="006B5F24"/>
    <w:rsid w:val="006C048B"/>
    <w:rsid w:val="006C1C5F"/>
    <w:rsid w:val="006C210A"/>
    <w:rsid w:val="006C7378"/>
    <w:rsid w:val="006D0404"/>
    <w:rsid w:val="006D05A5"/>
    <w:rsid w:val="006D0D47"/>
    <w:rsid w:val="006D3E02"/>
    <w:rsid w:val="006D4171"/>
    <w:rsid w:val="006D79A9"/>
    <w:rsid w:val="006E20D6"/>
    <w:rsid w:val="006E2800"/>
    <w:rsid w:val="006E4FA6"/>
    <w:rsid w:val="006E51CF"/>
    <w:rsid w:val="006F16B5"/>
    <w:rsid w:val="006F37E3"/>
    <w:rsid w:val="006F3B76"/>
    <w:rsid w:val="006F4215"/>
    <w:rsid w:val="006F67B8"/>
    <w:rsid w:val="00707B63"/>
    <w:rsid w:val="007126C7"/>
    <w:rsid w:val="007155E6"/>
    <w:rsid w:val="00720011"/>
    <w:rsid w:val="00721A53"/>
    <w:rsid w:val="00723EA0"/>
    <w:rsid w:val="0072625D"/>
    <w:rsid w:val="00733D5E"/>
    <w:rsid w:val="00736310"/>
    <w:rsid w:val="007427BF"/>
    <w:rsid w:val="00746B47"/>
    <w:rsid w:val="0075016E"/>
    <w:rsid w:val="00750533"/>
    <w:rsid w:val="0075566A"/>
    <w:rsid w:val="00762CF6"/>
    <w:rsid w:val="007638DC"/>
    <w:rsid w:val="00773CF6"/>
    <w:rsid w:val="007750F8"/>
    <w:rsid w:val="00776F01"/>
    <w:rsid w:val="007819DF"/>
    <w:rsid w:val="007869B3"/>
    <w:rsid w:val="0079003B"/>
    <w:rsid w:val="007912D8"/>
    <w:rsid w:val="007915BD"/>
    <w:rsid w:val="007926BC"/>
    <w:rsid w:val="00795214"/>
    <w:rsid w:val="007954E3"/>
    <w:rsid w:val="00795622"/>
    <w:rsid w:val="007A1C82"/>
    <w:rsid w:val="007A5AA4"/>
    <w:rsid w:val="007B261C"/>
    <w:rsid w:val="007B5910"/>
    <w:rsid w:val="007B7146"/>
    <w:rsid w:val="007C2BF3"/>
    <w:rsid w:val="007D0FAB"/>
    <w:rsid w:val="007D29D6"/>
    <w:rsid w:val="007D5CFF"/>
    <w:rsid w:val="007D6FD3"/>
    <w:rsid w:val="007E2CFB"/>
    <w:rsid w:val="007E4787"/>
    <w:rsid w:val="007F2158"/>
    <w:rsid w:val="007F4344"/>
    <w:rsid w:val="00801B10"/>
    <w:rsid w:val="00806FC7"/>
    <w:rsid w:val="00816AB2"/>
    <w:rsid w:val="008228E1"/>
    <w:rsid w:val="008231B6"/>
    <w:rsid w:val="008270B8"/>
    <w:rsid w:val="00836FCA"/>
    <w:rsid w:val="00837590"/>
    <w:rsid w:val="0084370C"/>
    <w:rsid w:val="00844758"/>
    <w:rsid w:val="00846C4E"/>
    <w:rsid w:val="00851A51"/>
    <w:rsid w:val="00851DD2"/>
    <w:rsid w:val="008552B8"/>
    <w:rsid w:val="00856F34"/>
    <w:rsid w:val="00860537"/>
    <w:rsid w:val="00862188"/>
    <w:rsid w:val="008668AE"/>
    <w:rsid w:val="008711B6"/>
    <w:rsid w:val="00871837"/>
    <w:rsid w:val="00872249"/>
    <w:rsid w:val="00874CF3"/>
    <w:rsid w:val="00880D8D"/>
    <w:rsid w:val="0088188C"/>
    <w:rsid w:val="00881AF0"/>
    <w:rsid w:val="008840EA"/>
    <w:rsid w:val="00887298"/>
    <w:rsid w:val="00891F05"/>
    <w:rsid w:val="00892F63"/>
    <w:rsid w:val="00894E65"/>
    <w:rsid w:val="00897138"/>
    <w:rsid w:val="008A0C26"/>
    <w:rsid w:val="008A3097"/>
    <w:rsid w:val="008A3C8E"/>
    <w:rsid w:val="008B1E2F"/>
    <w:rsid w:val="008B3DB6"/>
    <w:rsid w:val="008C045E"/>
    <w:rsid w:val="008C0D42"/>
    <w:rsid w:val="008C1DEC"/>
    <w:rsid w:val="008C2D54"/>
    <w:rsid w:val="008C3F18"/>
    <w:rsid w:val="008C5003"/>
    <w:rsid w:val="008C6C5B"/>
    <w:rsid w:val="008D11A3"/>
    <w:rsid w:val="008E12F7"/>
    <w:rsid w:val="008E4152"/>
    <w:rsid w:val="008E5939"/>
    <w:rsid w:val="008F1D19"/>
    <w:rsid w:val="008F57B4"/>
    <w:rsid w:val="008F71F5"/>
    <w:rsid w:val="009003B5"/>
    <w:rsid w:val="00900E6C"/>
    <w:rsid w:val="009025FA"/>
    <w:rsid w:val="00903304"/>
    <w:rsid w:val="00904C5F"/>
    <w:rsid w:val="00905F39"/>
    <w:rsid w:val="00907A4B"/>
    <w:rsid w:val="00917AF4"/>
    <w:rsid w:val="00924493"/>
    <w:rsid w:val="00942DB3"/>
    <w:rsid w:val="009473D8"/>
    <w:rsid w:val="00955AE6"/>
    <w:rsid w:val="00973215"/>
    <w:rsid w:val="00974931"/>
    <w:rsid w:val="0097698A"/>
    <w:rsid w:val="009778E5"/>
    <w:rsid w:val="00977E60"/>
    <w:rsid w:val="00980EB1"/>
    <w:rsid w:val="009831D2"/>
    <w:rsid w:val="00984FCB"/>
    <w:rsid w:val="00990820"/>
    <w:rsid w:val="009912D4"/>
    <w:rsid w:val="00991D40"/>
    <w:rsid w:val="00995591"/>
    <w:rsid w:val="009A3F6F"/>
    <w:rsid w:val="009B195D"/>
    <w:rsid w:val="009B1C8D"/>
    <w:rsid w:val="009B2DFB"/>
    <w:rsid w:val="009B5BCB"/>
    <w:rsid w:val="009B62BE"/>
    <w:rsid w:val="009B6572"/>
    <w:rsid w:val="009C0EA2"/>
    <w:rsid w:val="009C1889"/>
    <w:rsid w:val="009C1DC7"/>
    <w:rsid w:val="009C294B"/>
    <w:rsid w:val="009C6C2B"/>
    <w:rsid w:val="009D3263"/>
    <w:rsid w:val="009D6711"/>
    <w:rsid w:val="009D6C6E"/>
    <w:rsid w:val="009D7246"/>
    <w:rsid w:val="009D7A5B"/>
    <w:rsid w:val="009D7F61"/>
    <w:rsid w:val="009E4BE6"/>
    <w:rsid w:val="009E64ED"/>
    <w:rsid w:val="009F1950"/>
    <w:rsid w:val="009F26A8"/>
    <w:rsid w:val="009F602D"/>
    <w:rsid w:val="009F6746"/>
    <w:rsid w:val="00A10D8E"/>
    <w:rsid w:val="00A14AA8"/>
    <w:rsid w:val="00A23718"/>
    <w:rsid w:val="00A35BF3"/>
    <w:rsid w:val="00A4483B"/>
    <w:rsid w:val="00A45E14"/>
    <w:rsid w:val="00A52C78"/>
    <w:rsid w:val="00A532B6"/>
    <w:rsid w:val="00A5389A"/>
    <w:rsid w:val="00A53A6B"/>
    <w:rsid w:val="00A66F83"/>
    <w:rsid w:val="00A67E87"/>
    <w:rsid w:val="00A70249"/>
    <w:rsid w:val="00A73096"/>
    <w:rsid w:val="00A73673"/>
    <w:rsid w:val="00A7675E"/>
    <w:rsid w:val="00A826B1"/>
    <w:rsid w:val="00A83053"/>
    <w:rsid w:val="00A87CA8"/>
    <w:rsid w:val="00A93914"/>
    <w:rsid w:val="00A96396"/>
    <w:rsid w:val="00AA5517"/>
    <w:rsid w:val="00AA7266"/>
    <w:rsid w:val="00AB3848"/>
    <w:rsid w:val="00AB6ED0"/>
    <w:rsid w:val="00AC089E"/>
    <w:rsid w:val="00AC4472"/>
    <w:rsid w:val="00AC6061"/>
    <w:rsid w:val="00AC6326"/>
    <w:rsid w:val="00AD2300"/>
    <w:rsid w:val="00AD7131"/>
    <w:rsid w:val="00AE067C"/>
    <w:rsid w:val="00AE23D7"/>
    <w:rsid w:val="00AE3AC2"/>
    <w:rsid w:val="00AF1A72"/>
    <w:rsid w:val="00AF1D2A"/>
    <w:rsid w:val="00AF42FE"/>
    <w:rsid w:val="00AF5904"/>
    <w:rsid w:val="00B01A97"/>
    <w:rsid w:val="00B11C93"/>
    <w:rsid w:val="00B15E71"/>
    <w:rsid w:val="00B218F6"/>
    <w:rsid w:val="00B230F2"/>
    <w:rsid w:val="00B24B85"/>
    <w:rsid w:val="00B24F97"/>
    <w:rsid w:val="00B26A3F"/>
    <w:rsid w:val="00B31586"/>
    <w:rsid w:val="00B35D4E"/>
    <w:rsid w:val="00B44066"/>
    <w:rsid w:val="00B510E5"/>
    <w:rsid w:val="00B51C52"/>
    <w:rsid w:val="00B546D6"/>
    <w:rsid w:val="00B62AF6"/>
    <w:rsid w:val="00B65D61"/>
    <w:rsid w:val="00B67395"/>
    <w:rsid w:val="00B708FE"/>
    <w:rsid w:val="00B868C9"/>
    <w:rsid w:val="00B87C87"/>
    <w:rsid w:val="00B9076D"/>
    <w:rsid w:val="00B93407"/>
    <w:rsid w:val="00B963EE"/>
    <w:rsid w:val="00BA45B0"/>
    <w:rsid w:val="00BC1939"/>
    <w:rsid w:val="00BC2104"/>
    <w:rsid w:val="00BC3080"/>
    <w:rsid w:val="00BC3A64"/>
    <w:rsid w:val="00BC3E9C"/>
    <w:rsid w:val="00BD15F2"/>
    <w:rsid w:val="00BD1A27"/>
    <w:rsid w:val="00BD497A"/>
    <w:rsid w:val="00BD5B23"/>
    <w:rsid w:val="00BE7181"/>
    <w:rsid w:val="00BF0A67"/>
    <w:rsid w:val="00BF12B5"/>
    <w:rsid w:val="00BF18E6"/>
    <w:rsid w:val="00BF37AA"/>
    <w:rsid w:val="00C00529"/>
    <w:rsid w:val="00C05B9D"/>
    <w:rsid w:val="00C0701B"/>
    <w:rsid w:val="00C0757F"/>
    <w:rsid w:val="00C079F9"/>
    <w:rsid w:val="00C10B51"/>
    <w:rsid w:val="00C1580E"/>
    <w:rsid w:val="00C23BEF"/>
    <w:rsid w:val="00C279FC"/>
    <w:rsid w:val="00C362C6"/>
    <w:rsid w:val="00C3780F"/>
    <w:rsid w:val="00C405C6"/>
    <w:rsid w:val="00C414A8"/>
    <w:rsid w:val="00C44F50"/>
    <w:rsid w:val="00C50045"/>
    <w:rsid w:val="00C51028"/>
    <w:rsid w:val="00C51C4B"/>
    <w:rsid w:val="00C51E35"/>
    <w:rsid w:val="00C52BD2"/>
    <w:rsid w:val="00C54921"/>
    <w:rsid w:val="00C563DF"/>
    <w:rsid w:val="00C56462"/>
    <w:rsid w:val="00C61359"/>
    <w:rsid w:val="00C76A71"/>
    <w:rsid w:val="00C8138F"/>
    <w:rsid w:val="00C84798"/>
    <w:rsid w:val="00C87760"/>
    <w:rsid w:val="00C878F4"/>
    <w:rsid w:val="00C95E53"/>
    <w:rsid w:val="00C96C21"/>
    <w:rsid w:val="00C972C6"/>
    <w:rsid w:val="00CA2560"/>
    <w:rsid w:val="00CA70B5"/>
    <w:rsid w:val="00CB0EF1"/>
    <w:rsid w:val="00CB1709"/>
    <w:rsid w:val="00CB5168"/>
    <w:rsid w:val="00CB58FE"/>
    <w:rsid w:val="00CB796C"/>
    <w:rsid w:val="00CB7A1D"/>
    <w:rsid w:val="00CC2E88"/>
    <w:rsid w:val="00CC76EB"/>
    <w:rsid w:val="00CD20B6"/>
    <w:rsid w:val="00CD6D3A"/>
    <w:rsid w:val="00CE2FF6"/>
    <w:rsid w:val="00CE332B"/>
    <w:rsid w:val="00CF1237"/>
    <w:rsid w:val="00CF13A3"/>
    <w:rsid w:val="00CF15DF"/>
    <w:rsid w:val="00CF7EAE"/>
    <w:rsid w:val="00D03828"/>
    <w:rsid w:val="00D10DC7"/>
    <w:rsid w:val="00D115AC"/>
    <w:rsid w:val="00D142C3"/>
    <w:rsid w:val="00D16B47"/>
    <w:rsid w:val="00D216AC"/>
    <w:rsid w:val="00D238CA"/>
    <w:rsid w:val="00D343F0"/>
    <w:rsid w:val="00D42B30"/>
    <w:rsid w:val="00D46927"/>
    <w:rsid w:val="00D51302"/>
    <w:rsid w:val="00D51E52"/>
    <w:rsid w:val="00D53959"/>
    <w:rsid w:val="00D54E86"/>
    <w:rsid w:val="00D55B35"/>
    <w:rsid w:val="00D63D33"/>
    <w:rsid w:val="00D6739D"/>
    <w:rsid w:val="00D7105B"/>
    <w:rsid w:val="00D74A35"/>
    <w:rsid w:val="00D76ACF"/>
    <w:rsid w:val="00D86A7F"/>
    <w:rsid w:val="00D9312A"/>
    <w:rsid w:val="00D9363A"/>
    <w:rsid w:val="00D96CD0"/>
    <w:rsid w:val="00DA1223"/>
    <w:rsid w:val="00DA2E8F"/>
    <w:rsid w:val="00DA330D"/>
    <w:rsid w:val="00DA3BC3"/>
    <w:rsid w:val="00DA5B78"/>
    <w:rsid w:val="00DB0B49"/>
    <w:rsid w:val="00DB298F"/>
    <w:rsid w:val="00DB427A"/>
    <w:rsid w:val="00DB4468"/>
    <w:rsid w:val="00DB49BD"/>
    <w:rsid w:val="00DB5CF5"/>
    <w:rsid w:val="00DC0850"/>
    <w:rsid w:val="00DC191D"/>
    <w:rsid w:val="00DC3021"/>
    <w:rsid w:val="00DC51C0"/>
    <w:rsid w:val="00DD1509"/>
    <w:rsid w:val="00DD3F0B"/>
    <w:rsid w:val="00DD5807"/>
    <w:rsid w:val="00DE5FBB"/>
    <w:rsid w:val="00DF09C1"/>
    <w:rsid w:val="00E01F09"/>
    <w:rsid w:val="00E04552"/>
    <w:rsid w:val="00E06800"/>
    <w:rsid w:val="00E2146D"/>
    <w:rsid w:val="00E251EF"/>
    <w:rsid w:val="00E34527"/>
    <w:rsid w:val="00E3534D"/>
    <w:rsid w:val="00E35BCB"/>
    <w:rsid w:val="00E373BB"/>
    <w:rsid w:val="00E43E34"/>
    <w:rsid w:val="00E44016"/>
    <w:rsid w:val="00E44EEA"/>
    <w:rsid w:val="00E47115"/>
    <w:rsid w:val="00E50B25"/>
    <w:rsid w:val="00E52677"/>
    <w:rsid w:val="00E528D9"/>
    <w:rsid w:val="00E556B5"/>
    <w:rsid w:val="00E6030D"/>
    <w:rsid w:val="00E61295"/>
    <w:rsid w:val="00E63A5F"/>
    <w:rsid w:val="00E645FB"/>
    <w:rsid w:val="00E64DAA"/>
    <w:rsid w:val="00E655BD"/>
    <w:rsid w:val="00E67B84"/>
    <w:rsid w:val="00E70C20"/>
    <w:rsid w:val="00E7680F"/>
    <w:rsid w:val="00E768FB"/>
    <w:rsid w:val="00E8559A"/>
    <w:rsid w:val="00E90C17"/>
    <w:rsid w:val="00E90F00"/>
    <w:rsid w:val="00E91383"/>
    <w:rsid w:val="00E91B47"/>
    <w:rsid w:val="00E9315B"/>
    <w:rsid w:val="00E942C8"/>
    <w:rsid w:val="00E969E1"/>
    <w:rsid w:val="00EA713B"/>
    <w:rsid w:val="00EB0E34"/>
    <w:rsid w:val="00EB1488"/>
    <w:rsid w:val="00EB6A43"/>
    <w:rsid w:val="00EB6FD9"/>
    <w:rsid w:val="00EE7AD9"/>
    <w:rsid w:val="00EF0D20"/>
    <w:rsid w:val="00EF27CF"/>
    <w:rsid w:val="00EF2C8E"/>
    <w:rsid w:val="00EF448D"/>
    <w:rsid w:val="00EF59FB"/>
    <w:rsid w:val="00F078FC"/>
    <w:rsid w:val="00F1212D"/>
    <w:rsid w:val="00F13132"/>
    <w:rsid w:val="00F149C6"/>
    <w:rsid w:val="00F163BE"/>
    <w:rsid w:val="00F219FD"/>
    <w:rsid w:val="00F27187"/>
    <w:rsid w:val="00F31B7A"/>
    <w:rsid w:val="00F3291F"/>
    <w:rsid w:val="00F352EA"/>
    <w:rsid w:val="00F35B48"/>
    <w:rsid w:val="00F373A8"/>
    <w:rsid w:val="00F40EF5"/>
    <w:rsid w:val="00F428F1"/>
    <w:rsid w:val="00F609EF"/>
    <w:rsid w:val="00F60BF5"/>
    <w:rsid w:val="00F61C1A"/>
    <w:rsid w:val="00F62DEE"/>
    <w:rsid w:val="00F65EBF"/>
    <w:rsid w:val="00F66531"/>
    <w:rsid w:val="00F703CA"/>
    <w:rsid w:val="00F710CF"/>
    <w:rsid w:val="00F74783"/>
    <w:rsid w:val="00F74823"/>
    <w:rsid w:val="00F80464"/>
    <w:rsid w:val="00F81B61"/>
    <w:rsid w:val="00F83413"/>
    <w:rsid w:val="00F844B1"/>
    <w:rsid w:val="00F941E4"/>
    <w:rsid w:val="00F94C04"/>
    <w:rsid w:val="00FA6469"/>
    <w:rsid w:val="00FB66ED"/>
    <w:rsid w:val="00FC0255"/>
    <w:rsid w:val="00FC3197"/>
    <w:rsid w:val="00FD6BD7"/>
    <w:rsid w:val="00FD7481"/>
    <w:rsid w:val="00FE024B"/>
    <w:rsid w:val="00FE3EAF"/>
    <w:rsid w:val="00FF29C6"/>
    <w:rsid w:val="00FF3C17"/>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5c7f92"/>
    </o:shapedefaults>
    <o:shapelayout v:ext="edit">
      <o:idmap v:ext="edit" data="1"/>
    </o:shapelayout>
  </w:shapeDefaults>
  <w:decimalSymbol w:val="."/>
  <w:listSeparator w:val=","/>
  <w14:docId w14:val="2B87B2E4"/>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basedOn w:val="Normal"/>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 w:type="paragraph" w:customStyle="1" w:styleId="Default">
    <w:name w:val="Default"/>
    <w:rsid w:val="00AF1D2A"/>
    <w:pPr>
      <w:autoSpaceDE w:val="0"/>
      <w:autoSpaceDN w:val="0"/>
      <w:adjustRightInd w:val="0"/>
    </w:pPr>
    <w:rPr>
      <w:rFonts w:ascii="Gill Sans MT" w:hAnsi="Gill Sans MT" w:cs="Gill Sans M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25440564">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8778383">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2006543611">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lanning.Unit@justice.tas.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justice.tas.gov.a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anningreform.tas.gov.a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DE311-D9E5-4BB9-8911-16E815715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1CE517BB.dotm</Template>
  <TotalTime>0</TotalTime>
  <Pages>4</Pages>
  <Words>1270</Words>
  <Characters>7242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Evans, Susan</cp:lastModifiedBy>
  <cp:revision>2</cp:revision>
  <cp:lastPrinted>2017-09-15T05:55:00Z</cp:lastPrinted>
  <dcterms:created xsi:type="dcterms:W3CDTF">2017-11-30T22:14:00Z</dcterms:created>
  <dcterms:modified xsi:type="dcterms:W3CDTF">2017-11-30T22:14:00Z</dcterms:modified>
</cp:coreProperties>
</file>