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288969" w14:textId="77777777" w:rsidR="001004A9" w:rsidRPr="008552B8" w:rsidRDefault="00E768FB" w:rsidP="008552B8">
      <w:pPr>
        <w:pStyle w:val="Heading1"/>
        <w:spacing w:after="240"/>
        <w:rPr>
          <w:sz w:val="43"/>
          <w:szCs w:val="43"/>
        </w:rPr>
      </w:pPr>
      <w:bookmarkStart w:id="0" w:name="_GoBack"/>
      <w:bookmarkEnd w:id="0"/>
      <w:r>
        <w:rPr>
          <w:sz w:val="43"/>
          <w:szCs w:val="43"/>
        </w:rPr>
        <w:t>Major projects assessment</w:t>
      </w:r>
      <w:r w:rsidR="00DB298F" w:rsidRPr="008552B8">
        <w:rPr>
          <w:sz w:val="43"/>
          <w:szCs w:val="43"/>
        </w:rPr>
        <w:t xml:space="preserve"> Reform</w:t>
      </w:r>
      <w:r w:rsidR="00BF18E6">
        <w:rPr>
          <w:sz w:val="43"/>
          <w:szCs w:val="43"/>
        </w:rPr>
        <w:t>:</w:t>
      </w:r>
      <w:r w:rsidR="003979E4" w:rsidRPr="008552B8">
        <w:rPr>
          <w:sz w:val="43"/>
          <w:szCs w:val="43"/>
        </w:rPr>
        <w:t xml:space="preserve"> </w:t>
      </w:r>
      <w:r w:rsidR="00BF18E6">
        <w:rPr>
          <w:sz w:val="43"/>
          <w:szCs w:val="43"/>
        </w:rPr>
        <w:br/>
      </w:r>
      <w:r w:rsidR="0027322B">
        <w:rPr>
          <w:sz w:val="43"/>
          <w:szCs w:val="43"/>
        </w:rPr>
        <w:t>roles and responsibilities</w:t>
      </w:r>
    </w:p>
    <w:p w14:paraId="512C7402" w14:textId="77777777" w:rsidR="00FC3197" w:rsidRDefault="00FC3197" w:rsidP="008552B8">
      <w:pPr>
        <w:spacing w:before="120" w:after="180"/>
        <w:rPr>
          <w:rFonts w:ascii="Gill Sans MT" w:hAnsi="Gill Sans MT"/>
          <w:bCs/>
          <w:i/>
        </w:rPr>
        <w:sectPr w:rsidR="00FC3197" w:rsidSect="00A5389A">
          <w:headerReference w:type="default" r:id="rId8"/>
          <w:footerReference w:type="default" r:id="rId9"/>
          <w:pgSz w:w="11900" w:h="16840"/>
          <w:pgMar w:top="2552" w:right="1797" w:bottom="1440" w:left="1418" w:header="709" w:footer="484" w:gutter="0"/>
          <w:cols w:space="708"/>
        </w:sectPr>
      </w:pPr>
    </w:p>
    <w:p w14:paraId="316B5C1A" w14:textId="77777777" w:rsidR="00E47115" w:rsidRPr="00DB298F" w:rsidRDefault="006F67B8" w:rsidP="008552B8">
      <w:pPr>
        <w:pStyle w:val="Heading2"/>
        <w:spacing w:before="120"/>
      </w:pPr>
      <w:r>
        <w:t>Overview</w:t>
      </w:r>
    </w:p>
    <w:p w14:paraId="7EB91015" w14:textId="1911A872" w:rsidR="009B62BE" w:rsidRPr="00913B73" w:rsidRDefault="00DB298F" w:rsidP="001D66E5">
      <w:pPr>
        <w:spacing w:after="0"/>
        <w:rPr>
          <w:rFonts w:ascii="Gill Sans MT" w:hAnsi="Gill Sans MT"/>
          <w:bCs/>
          <w:szCs w:val="24"/>
        </w:rPr>
      </w:pPr>
      <w:r w:rsidRPr="00296961">
        <w:rPr>
          <w:rFonts w:ascii="Gill Sans MT" w:hAnsi="Gill Sans MT"/>
          <w:bCs/>
          <w:szCs w:val="24"/>
        </w:rPr>
        <w:t xml:space="preserve">The </w:t>
      </w:r>
      <w:r w:rsidR="009B62BE">
        <w:rPr>
          <w:rFonts w:ascii="Gill Sans MT" w:hAnsi="Gill Sans MT"/>
          <w:bCs/>
          <w:szCs w:val="24"/>
        </w:rPr>
        <w:t>draft Land Use Planning and Approvals Amen</w:t>
      </w:r>
      <w:r w:rsidR="00291C56">
        <w:rPr>
          <w:rFonts w:ascii="Gill Sans MT" w:hAnsi="Gill Sans MT"/>
          <w:bCs/>
          <w:szCs w:val="24"/>
        </w:rPr>
        <w:t>dment (Major Projects) Bill 2018</w:t>
      </w:r>
      <w:r w:rsidR="009B62BE">
        <w:rPr>
          <w:rFonts w:ascii="Gill Sans MT" w:hAnsi="Gill Sans MT"/>
          <w:bCs/>
          <w:szCs w:val="24"/>
        </w:rPr>
        <w:t xml:space="preserve"> </w:t>
      </w:r>
      <w:r w:rsidR="009A56A0" w:rsidRPr="009A56A0">
        <w:rPr>
          <w:rFonts w:ascii="Gill Sans MT" w:hAnsi="Gill Sans MT"/>
          <w:bCs/>
          <w:szCs w:val="24"/>
        </w:rPr>
        <w:t xml:space="preserve">provides for the assessment of projects that have been declared as major projects. The purpose of this fact sheet is to provide a high-level summary of the roles and responsibilities of the key decision-makers in the proposed major projects </w:t>
      </w:r>
      <w:r w:rsidR="009A56A0" w:rsidRPr="00913B73">
        <w:rPr>
          <w:rFonts w:ascii="Gill Sans MT" w:hAnsi="Gill Sans MT"/>
          <w:bCs/>
          <w:szCs w:val="24"/>
        </w:rPr>
        <w:t xml:space="preserve">process. </w:t>
      </w:r>
      <w:r w:rsidR="00D42877" w:rsidRPr="00913B73">
        <w:rPr>
          <w:rFonts w:ascii="Gill Sans MT" w:hAnsi="Gill Sans MT"/>
          <w:bCs/>
          <w:szCs w:val="24"/>
        </w:rPr>
        <w:t xml:space="preserve">Key decision-makers </w:t>
      </w:r>
      <w:r w:rsidR="009A56A0" w:rsidRPr="00913B73">
        <w:rPr>
          <w:rFonts w:ascii="Gill Sans MT" w:hAnsi="Gill Sans MT"/>
          <w:bCs/>
          <w:szCs w:val="24"/>
        </w:rPr>
        <w:t>are</w:t>
      </w:r>
      <w:r w:rsidR="00426A39" w:rsidRPr="00913B73">
        <w:rPr>
          <w:rFonts w:ascii="Gill Sans MT" w:hAnsi="Gill Sans MT"/>
          <w:bCs/>
          <w:szCs w:val="24"/>
        </w:rPr>
        <w:t xml:space="preserve"> the</w:t>
      </w:r>
      <w:r w:rsidR="009A56A0" w:rsidRPr="00913B73">
        <w:rPr>
          <w:rFonts w:ascii="Gill Sans MT" w:hAnsi="Gill Sans MT"/>
          <w:bCs/>
          <w:szCs w:val="24"/>
        </w:rPr>
        <w:t>:</w:t>
      </w:r>
    </w:p>
    <w:p w14:paraId="1CAAF024" w14:textId="35C3983B" w:rsidR="009B62BE" w:rsidRPr="00913B73" w:rsidRDefault="00D665C8" w:rsidP="001D66E5">
      <w:pPr>
        <w:pStyle w:val="ListParagraph"/>
        <w:numPr>
          <w:ilvl w:val="0"/>
          <w:numId w:val="39"/>
        </w:numPr>
        <w:spacing w:after="0"/>
        <w:ind w:left="714" w:hanging="357"/>
        <w:contextualSpacing w:val="0"/>
        <w:rPr>
          <w:rFonts w:ascii="Gill Sans MT" w:hAnsi="Gill Sans MT"/>
          <w:bCs/>
          <w:szCs w:val="24"/>
        </w:rPr>
      </w:pPr>
      <w:r w:rsidRPr="00913B73">
        <w:rPr>
          <w:rFonts w:ascii="Gill Sans MT" w:hAnsi="Gill Sans MT"/>
          <w:bCs/>
          <w:szCs w:val="24"/>
        </w:rPr>
        <w:t>Minister for Planning and Local Government</w:t>
      </w:r>
      <w:r w:rsidR="00C3780F" w:rsidRPr="00913B73">
        <w:rPr>
          <w:rFonts w:ascii="Gill Sans MT" w:hAnsi="Gill Sans MT"/>
          <w:bCs/>
          <w:szCs w:val="24"/>
        </w:rPr>
        <w:t>;</w:t>
      </w:r>
    </w:p>
    <w:p w14:paraId="64CB47F4" w14:textId="64C9437A" w:rsidR="009B62BE" w:rsidRPr="00913B73" w:rsidRDefault="008840EA" w:rsidP="001D66E5">
      <w:pPr>
        <w:pStyle w:val="ListParagraph"/>
        <w:numPr>
          <w:ilvl w:val="0"/>
          <w:numId w:val="39"/>
        </w:numPr>
        <w:spacing w:after="0"/>
        <w:ind w:left="714" w:hanging="357"/>
        <w:contextualSpacing w:val="0"/>
        <w:rPr>
          <w:rFonts w:ascii="Gill Sans MT" w:hAnsi="Gill Sans MT"/>
          <w:bCs/>
          <w:szCs w:val="24"/>
        </w:rPr>
      </w:pPr>
      <w:r w:rsidRPr="00913B73">
        <w:rPr>
          <w:rFonts w:ascii="Gill Sans MT" w:hAnsi="Gill Sans MT"/>
          <w:bCs/>
          <w:szCs w:val="24"/>
        </w:rPr>
        <w:t xml:space="preserve">Development </w:t>
      </w:r>
      <w:r w:rsidR="009B62BE" w:rsidRPr="00913B73">
        <w:rPr>
          <w:rFonts w:ascii="Gill Sans MT" w:hAnsi="Gill Sans MT"/>
          <w:bCs/>
          <w:szCs w:val="24"/>
        </w:rPr>
        <w:t>Assessment Panel</w:t>
      </w:r>
      <w:r w:rsidR="000E54A7" w:rsidRPr="00913B73">
        <w:rPr>
          <w:rFonts w:ascii="Gill Sans MT" w:hAnsi="Gill Sans MT"/>
          <w:bCs/>
          <w:szCs w:val="24"/>
        </w:rPr>
        <w:t xml:space="preserve"> (the Panel)</w:t>
      </w:r>
      <w:r w:rsidR="007337DD" w:rsidRPr="00913B73">
        <w:rPr>
          <w:rFonts w:ascii="Gill Sans MT" w:hAnsi="Gill Sans MT"/>
          <w:bCs/>
          <w:szCs w:val="24"/>
        </w:rPr>
        <w:t>;</w:t>
      </w:r>
      <w:r w:rsidR="00C3780F" w:rsidRPr="00913B73">
        <w:rPr>
          <w:rFonts w:ascii="Gill Sans MT" w:hAnsi="Gill Sans MT"/>
          <w:bCs/>
          <w:szCs w:val="24"/>
        </w:rPr>
        <w:t xml:space="preserve"> </w:t>
      </w:r>
    </w:p>
    <w:p w14:paraId="5F4473DF" w14:textId="2E69336A" w:rsidR="00DC306D" w:rsidRPr="00913B73" w:rsidRDefault="00CE55D5" w:rsidP="001D66E5">
      <w:pPr>
        <w:pStyle w:val="ListParagraph"/>
        <w:numPr>
          <w:ilvl w:val="0"/>
          <w:numId w:val="39"/>
        </w:numPr>
        <w:spacing w:after="0"/>
        <w:ind w:left="714" w:hanging="357"/>
        <w:contextualSpacing w:val="0"/>
        <w:rPr>
          <w:rFonts w:ascii="Gill Sans MT" w:hAnsi="Gill Sans MT"/>
          <w:bCs/>
          <w:szCs w:val="24"/>
        </w:rPr>
      </w:pPr>
      <w:r>
        <w:rPr>
          <w:rFonts w:ascii="Gill Sans MT" w:hAnsi="Gill Sans MT"/>
          <w:bCs/>
          <w:szCs w:val="24"/>
        </w:rPr>
        <w:t>R</w:t>
      </w:r>
      <w:r w:rsidR="008840EA" w:rsidRPr="00913B73">
        <w:rPr>
          <w:rFonts w:ascii="Gill Sans MT" w:hAnsi="Gill Sans MT"/>
          <w:bCs/>
          <w:szCs w:val="24"/>
        </w:rPr>
        <w:t xml:space="preserve">egulators responsible for </w:t>
      </w:r>
      <w:r w:rsidR="0020562C" w:rsidRPr="00913B73">
        <w:rPr>
          <w:rFonts w:ascii="Gill Sans MT" w:hAnsi="Gill Sans MT"/>
          <w:bCs/>
          <w:szCs w:val="24"/>
        </w:rPr>
        <w:t xml:space="preserve">the project-associated Acts covered by </w:t>
      </w:r>
      <w:r w:rsidR="008840EA" w:rsidRPr="00913B73">
        <w:rPr>
          <w:rFonts w:ascii="Gill Sans MT" w:hAnsi="Gill Sans MT"/>
          <w:bCs/>
          <w:szCs w:val="24"/>
        </w:rPr>
        <w:t>the process</w:t>
      </w:r>
      <w:r w:rsidR="000A23D8" w:rsidRPr="00913B73">
        <w:rPr>
          <w:rFonts w:ascii="Gill Sans MT" w:hAnsi="Gill Sans MT"/>
          <w:bCs/>
          <w:szCs w:val="24"/>
        </w:rPr>
        <w:t xml:space="preserve">; </w:t>
      </w:r>
    </w:p>
    <w:p w14:paraId="191AB5AA" w14:textId="76F74E5F" w:rsidR="000E72BB" w:rsidRPr="00913B73" w:rsidRDefault="00DC306D" w:rsidP="001D66E5">
      <w:pPr>
        <w:pStyle w:val="ListParagraph"/>
        <w:numPr>
          <w:ilvl w:val="0"/>
          <w:numId w:val="39"/>
        </w:numPr>
        <w:spacing w:after="0"/>
        <w:ind w:left="714" w:hanging="357"/>
        <w:contextualSpacing w:val="0"/>
        <w:rPr>
          <w:rFonts w:ascii="Gill Sans MT" w:hAnsi="Gill Sans MT"/>
          <w:bCs/>
          <w:szCs w:val="24"/>
        </w:rPr>
      </w:pPr>
      <w:r w:rsidRPr="00913B73">
        <w:rPr>
          <w:rFonts w:ascii="Gill Sans MT" w:hAnsi="Gill Sans MT"/>
          <w:bCs/>
          <w:szCs w:val="24"/>
        </w:rPr>
        <w:t>Tasmanian Planning Commission</w:t>
      </w:r>
      <w:r w:rsidR="001C0830" w:rsidRPr="00913B73">
        <w:rPr>
          <w:rFonts w:ascii="Gill Sans MT" w:hAnsi="Gill Sans MT"/>
          <w:bCs/>
          <w:szCs w:val="24"/>
        </w:rPr>
        <w:t xml:space="preserve"> (the Commission)</w:t>
      </w:r>
      <w:r w:rsidRPr="00913B73">
        <w:rPr>
          <w:rFonts w:ascii="Gill Sans MT" w:hAnsi="Gill Sans MT"/>
          <w:bCs/>
          <w:szCs w:val="24"/>
        </w:rPr>
        <w:t xml:space="preserve">; </w:t>
      </w:r>
      <w:r w:rsidR="000A23D8" w:rsidRPr="00913B73">
        <w:rPr>
          <w:rFonts w:ascii="Gill Sans MT" w:hAnsi="Gill Sans MT"/>
          <w:bCs/>
          <w:szCs w:val="24"/>
        </w:rPr>
        <w:t>and</w:t>
      </w:r>
    </w:p>
    <w:p w14:paraId="03C00B3F" w14:textId="4C924A7D" w:rsidR="009B62BE" w:rsidRPr="00913B73" w:rsidRDefault="005552F0" w:rsidP="001D66E5">
      <w:pPr>
        <w:pStyle w:val="ListParagraph"/>
        <w:numPr>
          <w:ilvl w:val="0"/>
          <w:numId w:val="39"/>
        </w:numPr>
        <w:spacing w:after="0"/>
        <w:ind w:left="714" w:hanging="357"/>
        <w:contextualSpacing w:val="0"/>
        <w:rPr>
          <w:rFonts w:ascii="Gill Sans MT" w:hAnsi="Gill Sans MT"/>
          <w:bCs/>
          <w:szCs w:val="24"/>
        </w:rPr>
      </w:pPr>
      <w:r>
        <w:rPr>
          <w:rFonts w:ascii="Gill Sans MT" w:hAnsi="Gill Sans MT"/>
          <w:bCs/>
          <w:szCs w:val="24"/>
        </w:rPr>
        <w:t>Local councils</w:t>
      </w:r>
      <w:r w:rsidR="000E72BB" w:rsidRPr="00913B73">
        <w:rPr>
          <w:rFonts w:ascii="Gill Sans MT" w:hAnsi="Gill Sans MT"/>
          <w:bCs/>
          <w:szCs w:val="24"/>
        </w:rPr>
        <w:t xml:space="preserve"> who nominate a </w:t>
      </w:r>
      <w:r w:rsidR="00E70ED2" w:rsidRPr="00913B73">
        <w:rPr>
          <w:rFonts w:ascii="Gill Sans MT" w:hAnsi="Gill Sans MT"/>
          <w:bCs/>
          <w:szCs w:val="24"/>
        </w:rPr>
        <w:t xml:space="preserve">person with the appropriate qualifications and experience </w:t>
      </w:r>
      <w:r w:rsidR="000E72BB" w:rsidRPr="00913B73">
        <w:rPr>
          <w:rFonts w:ascii="Gill Sans MT" w:hAnsi="Gill Sans MT"/>
          <w:bCs/>
          <w:szCs w:val="24"/>
        </w:rPr>
        <w:t xml:space="preserve">to </w:t>
      </w:r>
      <w:r w:rsidR="0090229D" w:rsidRPr="00913B73">
        <w:rPr>
          <w:rFonts w:ascii="Gill Sans MT" w:hAnsi="Gill Sans MT"/>
          <w:bCs/>
          <w:szCs w:val="24"/>
        </w:rPr>
        <w:t xml:space="preserve">be a member of </w:t>
      </w:r>
      <w:r w:rsidR="000E72BB" w:rsidRPr="00913B73">
        <w:rPr>
          <w:rFonts w:ascii="Gill Sans MT" w:hAnsi="Gill Sans MT"/>
          <w:bCs/>
          <w:szCs w:val="24"/>
        </w:rPr>
        <w:t>the Panel.</w:t>
      </w:r>
    </w:p>
    <w:p w14:paraId="545E19C0" w14:textId="185223A7" w:rsidR="0025111B" w:rsidRPr="00913B73" w:rsidRDefault="007045A5" w:rsidP="0025111B">
      <w:pPr>
        <w:rPr>
          <w:rFonts w:ascii="Gill Sans MT" w:hAnsi="Gill Sans MT"/>
          <w:bCs/>
          <w:szCs w:val="24"/>
        </w:rPr>
      </w:pPr>
      <w:r w:rsidRPr="00913B73">
        <w:rPr>
          <w:rFonts w:ascii="Gill Sans MT" w:hAnsi="Gill Sans MT"/>
          <w:bCs/>
          <w:szCs w:val="24"/>
        </w:rPr>
        <w:t>The Commonwealth Government may also have a role when a major project</w:t>
      </w:r>
      <w:r w:rsidR="0025111B" w:rsidRPr="00913B73">
        <w:rPr>
          <w:rFonts w:ascii="Gill Sans MT" w:hAnsi="Gill Sans MT"/>
          <w:bCs/>
          <w:szCs w:val="24"/>
        </w:rPr>
        <w:t xml:space="preserve"> require</w:t>
      </w:r>
      <w:r w:rsidRPr="00913B73">
        <w:rPr>
          <w:rFonts w:ascii="Gill Sans MT" w:hAnsi="Gill Sans MT"/>
          <w:bCs/>
          <w:szCs w:val="24"/>
        </w:rPr>
        <w:t>s</w:t>
      </w:r>
      <w:r w:rsidR="0025111B" w:rsidRPr="00913B73">
        <w:rPr>
          <w:rFonts w:ascii="Gill Sans MT" w:hAnsi="Gill Sans MT"/>
          <w:bCs/>
          <w:szCs w:val="24"/>
        </w:rPr>
        <w:t xml:space="preserve"> Commonwealth Government approval</w:t>
      </w:r>
      <w:r w:rsidR="00E95AB9">
        <w:rPr>
          <w:rFonts w:ascii="Gill Sans MT" w:hAnsi="Gill Sans MT"/>
          <w:bCs/>
          <w:szCs w:val="24"/>
        </w:rPr>
        <w:t>. This is</w:t>
      </w:r>
      <w:r w:rsidR="0025111B" w:rsidRPr="00913B73">
        <w:rPr>
          <w:rFonts w:ascii="Gill Sans MT" w:hAnsi="Gill Sans MT"/>
          <w:bCs/>
          <w:szCs w:val="24"/>
        </w:rPr>
        <w:t xml:space="preserve"> where </w:t>
      </w:r>
      <w:r w:rsidRPr="00913B73">
        <w:rPr>
          <w:rFonts w:ascii="Gill Sans MT" w:hAnsi="Gill Sans MT"/>
          <w:bCs/>
          <w:szCs w:val="24"/>
        </w:rPr>
        <w:t xml:space="preserve">the project </w:t>
      </w:r>
      <w:r w:rsidR="0025111B" w:rsidRPr="00913B73">
        <w:rPr>
          <w:rFonts w:ascii="Gill Sans MT" w:hAnsi="Gill Sans MT"/>
          <w:bCs/>
          <w:szCs w:val="24"/>
        </w:rPr>
        <w:t>involve</w:t>
      </w:r>
      <w:r w:rsidRPr="00913B73">
        <w:rPr>
          <w:rFonts w:ascii="Gill Sans MT" w:hAnsi="Gill Sans MT"/>
          <w:bCs/>
          <w:szCs w:val="24"/>
        </w:rPr>
        <w:t>s</w:t>
      </w:r>
      <w:r w:rsidR="0025111B" w:rsidRPr="00913B73">
        <w:rPr>
          <w:rFonts w:ascii="Gill Sans MT" w:hAnsi="Gill Sans MT"/>
          <w:bCs/>
          <w:szCs w:val="24"/>
        </w:rPr>
        <w:t xml:space="preserve"> activities that </w:t>
      </w:r>
      <w:r w:rsidR="0025111B" w:rsidRPr="00913B73">
        <w:rPr>
          <w:rFonts w:ascii="Gill Sans MT" w:hAnsi="Gill Sans MT"/>
          <w:bCs/>
          <w:szCs w:val="24"/>
        </w:rPr>
        <w:t xml:space="preserve">are likely to impact significantly on matters of national environmental significance under the </w:t>
      </w:r>
      <w:r w:rsidR="0025111B" w:rsidRPr="005C74E0">
        <w:rPr>
          <w:rFonts w:ascii="Gill Sans MT" w:hAnsi="Gill Sans MT"/>
          <w:bCs/>
          <w:szCs w:val="24"/>
        </w:rPr>
        <w:t>Commonwealth</w:t>
      </w:r>
      <w:r w:rsidR="005C74E0">
        <w:rPr>
          <w:rFonts w:ascii="Gill Sans MT" w:hAnsi="Gill Sans MT"/>
          <w:bCs/>
          <w:szCs w:val="24"/>
        </w:rPr>
        <w:t>’s</w:t>
      </w:r>
      <w:r w:rsidR="0025111B" w:rsidRPr="00913B73">
        <w:rPr>
          <w:rFonts w:ascii="Gill Sans MT" w:hAnsi="Gill Sans MT"/>
          <w:bCs/>
          <w:i/>
          <w:szCs w:val="24"/>
        </w:rPr>
        <w:t xml:space="preserve"> Environmental Protection and Biodiversity Conservation Act 1999</w:t>
      </w:r>
      <w:r w:rsidR="000F217A">
        <w:rPr>
          <w:rFonts w:ascii="Gill Sans MT" w:hAnsi="Gill Sans MT"/>
          <w:bCs/>
          <w:szCs w:val="24"/>
        </w:rPr>
        <w:t xml:space="preserve"> (EPBC </w:t>
      </w:r>
      <w:r w:rsidR="0025111B" w:rsidRPr="00913B73">
        <w:rPr>
          <w:rFonts w:ascii="Gill Sans MT" w:hAnsi="Gill Sans MT"/>
          <w:bCs/>
          <w:szCs w:val="24"/>
        </w:rPr>
        <w:t xml:space="preserve">Act). </w:t>
      </w:r>
    </w:p>
    <w:p w14:paraId="722F08B8" w14:textId="3B751400" w:rsidR="007045A5" w:rsidRPr="007045A5" w:rsidRDefault="007045A5" w:rsidP="007045A5">
      <w:pPr>
        <w:spacing w:after="120"/>
        <w:rPr>
          <w:rFonts w:ascii="Gill Sans MT" w:hAnsi="Gill Sans MT"/>
          <w:bCs/>
          <w:szCs w:val="24"/>
        </w:rPr>
      </w:pPr>
      <w:r w:rsidRPr="00C05B9D">
        <w:rPr>
          <w:rFonts w:ascii="Gill Sans MT" w:hAnsi="Gill Sans MT"/>
          <w:bCs/>
          <w:szCs w:val="24"/>
        </w:rPr>
        <w:t>The Office of the Coordinator-General</w:t>
      </w:r>
      <w:r>
        <w:rPr>
          <w:rFonts w:ascii="Gill Sans MT" w:hAnsi="Gill Sans MT"/>
          <w:bCs/>
          <w:szCs w:val="24"/>
        </w:rPr>
        <w:t xml:space="preserve"> also has a</w:t>
      </w:r>
      <w:r w:rsidR="00CF0CE2">
        <w:rPr>
          <w:rFonts w:ascii="Gill Sans MT" w:hAnsi="Gill Sans MT"/>
          <w:bCs/>
          <w:szCs w:val="24"/>
        </w:rPr>
        <w:t xml:space="preserve"> facilitation </w:t>
      </w:r>
      <w:r w:rsidRPr="00C05B9D">
        <w:rPr>
          <w:rFonts w:ascii="Gill Sans MT" w:hAnsi="Gill Sans MT"/>
          <w:bCs/>
          <w:szCs w:val="24"/>
        </w:rPr>
        <w:t>role</w:t>
      </w:r>
      <w:r>
        <w:rPr>
          <w:rFonts w:ascii="Gill Sans MT" w:hAnsi="Gill Sans MT"/>
          <w:bCs/>
          <w:szCs w:val="24"/>
        </w:rPr>
        <w:t xml:space="preserve">; however, this role is </w:t>
      </w:r>
      <w:r w:rsidRPr="00C05B9D">
        <w:rPr>
          <w:rFonts w:ascii="Gill Sans MT" w:hAnsi="Gill Sans MT"/>
          <w:bCs/>
          <w:szCs w:val="24"/>
        </w:rPr>
        <w:t xml:space="preserve">outside the statutory </w:t>
      </w:r>
      <w:r w:rsidR="00412771">
        <w:rPr>
          <w:rFonts w:ascii="Gill Sans MT" w:hAnsi="Gill Sans MT"/>
          <w:bCs/>
          <w:szCs w:val="24"/>
        </w:rPr>
        <w:t xml:space="preserve">major projects </w:t>
      </w:r>
      <w:r>
        <w:rPr>
          <w:rFonts w:ascii="Gill Sans MT" w:hAnsi="Gill Sans MT"/>
          <w:bCs/>
          <w:szCs w:val="24"/>
        </w:rPr>
        <w:t xml:space="preserve">assessment </w:t>
      </w:r>
      <w:r w:rsidRPr="00C05B9D">
        <w:rPr>
          <w:rFonts w:ascii="Gill Sans MT" w:hAnsi="Gill Sans MT"/>
          <w:bCs/>
          <w:szCs w:val="24"/>
        </w:rPr>
        <w:t>process.</w:t>
      </w:r>
    </w:p>
    <w:p w14:paraId="2834F1AD" w14:textId="77777777" w:rsidR="00655521" w:rsidRPr="00DB298F" w:rsidRDefault="00655521" w:rsidP="009A4570">
      <w:pPr>
        <w:pStyle w:val="Heading2"/>
      </w:pPr>
      <w:r>
        <w:t>Role of the Minister</w:t>
      </w:r>
    </w:p>
    <w:p w14:paraId="39C794E4" w14:textId="77777777" w:rsidR="00D62002" w:rsidRDefault="00F60BF5" w:rsidP="00D65677">
      <w:pPr>
        <w:spacing w:after="120"/>
        <w:rPr>
          <w:rFonts w:ascii="Gill Sans MT" w:hAnsi="Gill Sans MT"/>
          <w:bCs/>
          <w:szCs w:val="24"/>
        </w:rPr>
      </w:pPr>
      <w:r w:rsidRPr="00913B73">
        <w:rPr>
          <w:rFonts w:ascii="Gill Sans MT" w:hAnsi="Gill Sans MT"/>
          <w:bCs/>
          <w:szCs w:val="24"/>
        </w:rPr>
        <w:t xml:space="preserve">The </w:t>
      </w:r>
      <w:r w:rsidR="00C3780F" w:rsidRPr="00913B73">
        <w:rPr>
          <w:rFonts w:ascii="Gill Sans MT" w:hAnsi="Gill Sans MT"/>
          <w:bCs/>
          <w:szCs w:val="24"/>
        </w:rPr>
        <w:t xml:space="preserve">Minister’s primary role is to determine whether a project is eligible to </w:t>
      </w:r>
      <w:r w:rsidR="008D11A3" w:rsidRPr="00913B73">
        <w:rPr>
          <w:rFonts w:ascii="Gill Sans MT" w:hAnsi="Gill Sans MT"/>
          <w:bCs/>
          <w:szCs w:val="24"/>
        </w:rPr>
        <w:t xml:space="preserve">declared a major project and </w:t>
      </w:r>
      <w:r w:rsidR="00C3780F" w:rsidRPr="00913B73">
        <w:rPr>
          <w:rFonts w:ascii="Gill Sans MT" w:hAnsi="Gill Sans MT"/>
          <w:bCs/>
          <w:szCs w:val="24"/>
        </w:rPr>
        <w:t xml:space="preserve">assessed under the </w:t>
      </w:r>
      <w:r w:rsidR="008D11A3" w:rsidRPr="00913B73">
        <w:rPr>
          <w:rFonts w:ascii="Gill Sans MT" w:hAnsi="Gill Sans MT"/>
          <w:bCs/>
          <w:szCs w:val="24"/>
        </w:rPr>
        <w:t>major projects</w:t>
      </w:r>
      <w:r w:rsidR="00C3780F" w:rsidRPr="00913B73">
        <w:rPr>
          <w:rFonts w:ascii="Gill Sans MT" w:hAnsi="Gill Sans MT"/>
          <w:bCs/>
          <w:szCs w:val="24"/>
        </w:rPr>
        <w:t xml:space="preserve"> </w:t>
      </w:r>
      <w:r w:rsidR="00AF3020">
        <w:rPr>
          <w:rFonts w:ascii="Gill Sans MT" w:hAnsi="Gill Sans MT"/>
          <w:bCs/>
          <w:szCs w:val="24"/>
        </w:rPr>
        <w:t xml:space="preserve">assessment </w:t>
      </w:r>
      <w:r w:rsidR="00C3780F" w:rsidRPr="00913B73">
        <w:rPr>
          <w:rFonts w:ascii="Gill Sans MT" w:hAnsi="Gill Sans MT"/>
          <w:bCs/>
          <w:szCs w:val="24"/>
        </w:rPr>
        <w:t xml:space="preserve">process. </w:t>
      </w:r>
    </w:p>
    <w:p w14:paraId="0EE9249D" w14:textId="2BA9A660" w:rsidR="00D62002" w:rsidRDefault="00D62002" w:rsidP="00D65677">
      <w:pPr>
        <w:spacing w:after="120"/>
        <w:rPr>
          <w:rFonts w:ascii="Gill Sans MT" w:hAnsi="Gill Sans MT"/>
          <w:bCs/>
          <w:szCs w:val="24"/>
        </w:rPr>
      </w:pPr>
      <w:r w:rsidRPr="00D62002">
        <w:rPr>
          <w:rFonts w:ascii="Gill Sans MT" w:hAnsi="Gill Sans MT"/>
          <w:bCs/>
          <w:szCs w:val="24"/>
        </w:rPr>
        <w:t xml:space="preserve">The Minister has no role in the assessment </w:t>
      </w:r>
      <w:r w:rsidR="00EE43BE">
        <w:rPr>
          <w:rFonts w:ascii="Gill Sans MT" w:hAnsi="Gill Sans MT"/>
          <w:bCs/>
          <w:szCs w:val="24"/>
        </w:rPr>
        <w:t xml:space="preserve">process </w:t>
      </w:r>
      <w:r w:rsidRPr="00D62002">
        <w:rPr>
          <w:rFonts w:ascii="Gill Sans MT" w:hAnsi="Gill Sans MT"/>
          <w:bCs/>
          <w:szCs w:val="24"/>
        </w:rPr>
        <w:t xml:space="preserve">of a major project, the selection of the Panel </w:t>
      </w:r>
      <w:r>
        <w:rPr>
          <w:rFonts w:ascii="Gill Sans MT" w:hAnsi="Gill Sans MT"/>
          <w:bCs/>
          <w:szCs w:val="24"/>
        </w:rPr>
        <w:t xml:space="preserve">that is </w:t>
      </w:r>
      <w:r w:rsidRPr="00D62002">
        <w:rPr>
          <w:rFonts w:ascii="Gill Sans MT" w:hAnsi="Gill Sans MT"/>
          <w:bCs/>
          <w:szCs w:val="24"/>
        </w:rPr>
        <w:t xml:space="preserve">established by the Commission to assess </w:t>
      </w:r>
      <w:r w:rsidR="00F67B98">
        <w:rPr>
          <w:rFonts w:ascii="Gill Sans MT" w:hAnsi="Gill Sans MT"/>
          <w:bCs/>
          <w:szCs w:val="24"/>
        </w:rPr>
        <w:t>a</w:t>
      </w:r>
      <w:r w:rsidRPr="00D62002">
        <w:rPr>
          <w:rFonts w:ascii="Gill Sans MT" w:hAnsi="Gill Sans MT"/>
          <w:bCs/>
          <w:szCs w:val="24"/>
        </w:rPr>
        <w:t xml:space="preserve"> major project, or the determination of assessment criteria.</w:t>
      </w:r>
    </w:p>
    <w:p w14:paraId="3030D6E9" w14:textId="5599F8C3" w:rsidR="008A09A0" w:rsidRPr="00913B73" w:rsidRDefault="00EB6FD9" w:rsidP="00D65677">
      <w:pPr>
        <w:spacing w:after="120"/>
        <w:rPr>
          <w:rFonts w:ascii="Gill Sans MT" w:hAnsi="Gill Sans MT"/>
          <w:bCs/>
          <w:szCs w:val="24"/>
        </w:rPr>
      </w:pPr>
      <w:r w:rsidRPr="00913B73">
        <w:rPr>
          <w:rFonts w:ascii="Gill Sans MT" w:hAnsi="Gill Sans MT"/>
          <w:bCs/>
          <w:szCs w:val="24"/>
        </w:rPr>
        <w:t>In order to declare a project for assessment, the Minister must consider that it meets the eligibility criteria contained in the draft Bill</w:t>
      </w:r>
      <w:r w:rsidR="00264BF4" w:rsidRPr="00913B73">
        <w:rPr>
          <w:rFonts w:ascii="Gill Sans MT" w:hAnsi="Gill Sans MT"/>
          <w:bCs/>
          <w:szCs w:val="24"/>
        </w:rPr>
        <w:t xml:space="preserve"> (</w:t>
      </w:r>
      <w:r w:rsidR="00795622" w:rsidRPr="00913B73">
        <w:rPr>
          <w:rFonts w:ascii="Gill Sans MT" w:hAnsi="Gill Sans MT"/>
          <w:bCs/>
          <w:szCs w:val="24"/>
        </w:rPr>
        <w:t xml:space="preserve">see </w:t>
      </w:r>
      <w:r w:rsidR="00264BF4" w:rsidRPr="00913B73">
        <w:rPr>
          <w:rFonts w:ascii="Gill Sans MT" w:hAnsi="Gill Sans MT"/>
          <w:bCs/>
          <w:szCs w:val="24"/>
        </w:rPr>
        <w:t>Fact Sheet 2)</w:t>
      </w:r>
      <w:r w:rsidR="002513FE" w:rsidRPr="00913B73">
        <w:rPr>
          <w:rFonts w:ascii="Gill Sans MT" w:hAnsi="Gill Sans MT"/>
          <w:bCs/>
          <w:szCs w:val="24"/>
        </w:rPr>
        <w:t>.</w:t>
      </w:r>
      <w:r w:rsidR="008A09A0" w:rsidRPr="00913B73">
        <w:rPr>
          <w:rFonts w:ascii="Gill Sans MT" w:hAnsi="Gill Sans MT"/>
          <w:bCs/>
          <w:szCs w:val="24"/>
        </w:rPr>
        <w:t xml:space="preserve"> </w:t>
      </w:r>
    </w:p>
    <w:p w14:paraId="1228514B" w14:textId="78BF651C" w:rsidR="00264BF4" w:rsidRPr="00913B73" w:rsidRDefault="00A550CD" w:rsidP="00BE71BE">
      <w:pPr>
        <w:spacing w:after="0"/>
        <w:rPr>
          <w:rFonts w:ascii="Gill Sans MT" w:hAnsi="Gill Sans MT"/>
          <w:bCs/>
          <w:szCs w:val="24"/>
        </w:rPr>
      </w:pPr>
      <w:r w:rsidRPr="00913B73">
        <w:rPr>
          <w:rFonts w:ascii="Gill Sans MT" w:hAnsi="Gill Sans MT"/>
          <w:bCs/>
          <w:szCs w:val="24"/>
        </w:rPr>
        <w:t>After</w:t>
      </w:r>
      <w:r w:rsidR="00EB6FD9" w:rsidRPr="00913B73">
        <w:rPr>
          <w:rFonts w:ascii="Gill Sans MT" w:hAnsi="Gill Sans MT"/>
          <w:bCs/>
          <w:szCs w:val="24"/>
        </w:rPr>
        <w:t xml:space="preserve"> a </w:t>
      </w:r>
      <w:r w:rsidR="006D284B" w:rsidRPr="00913B73">
        <w:rPr>
          <w:rFonts w:ascii="Gill Sans MT" w:hAnsi="Gill Sans MT"/>
          <w:bCs/>
          <w:szCs w:val="24"/>
        </w:rPr>
        <w:t>proponent has</w:t>
      </w:r>
      <w:r w:rsidR="00EB6FD9" w:rsidRPr="00913B73">
        <w:rPr>
          <w:rFonts w:ascii="Gill Sans MT" w:hAnsi="Gill Sans MT"/>
          <w:bCs/>
          <w:szCs w:val="24"/>
        </w:rPr>
        <w:t xml:space="preserve"> </w:t>
      </w:r>
      <w:r w:rsidR="006D284B" w:rsidRPr="00913B73">
        <w:rPr>
          <w:rFonts w:ascii="Gill Sans MT" w:hAnsi="Gill Sans MT"/>
          <w:bCs/>
          <w:szCs w:val="24"/>
        </w:rPr>
        <w:t>requested the Minister to declare a project to be a major project</w:t>
      </w:r>
      <w:r w:rsidR="00AC2869" w:rsidRPr="00913B73">
        <w:rPr>
          <w:rFonts w:ascii="Gill Sans MT" w:hAnsi="Gill Sans MT"/>
          <w:bCs/>
          <w:szCs w:val="24"/>
        </w:rPr>
        <w:t>, the M</w:t>
      </w:r>
      <w:r w:rsidR="006D284B" w:rsidRPr="00913B73">
        <w:rPr>
          <w:rFonts w:ascii="Gill Sans MT" w:hAnsi="Gill Sans MT"/>
          <w:bCs/>
          <w:szCs w:val="24"/>
        </w:rPr>
        <w:t>inister is responsible for:</w:t>
      </w:r>
    </w:p>
    <w:p w14:paraId="4ECB5448" w14:textId="67901A0A" w:rsidR="008A09A0" w:rsidRPr="00913B73" w:rsidRDefault="006D284B" w:rsidP="00BE71BE">
      <w:pPr>
        <w:pStyle w:val="ListParagraph"/>
        <w:numPr>
          <w:ilvl w:val="0"/>
          <w:numId w:val="38"/>
        </w:numPr>
        <w:spacing w:after="0"/>
        <w:ind w:left="714" w:hanging="357"/>
        <w:contextualSpacing w:val="0"/>
        <w:rPr>
          <w:rFonts w:ascii="Gill Sans MT" w:hAnsi="Gill Sans MT"/>
          <w:bCs/>
          <w:szCs w:val="24"/>
        </w:rPr>
      </w:pPr>
      <w:r w:rsidRPr="00913B73">
        <w:rPr>
          <w:rFonts w:ascii="Gill Sans MT" w:hAnsi="Gill Sans MT"/>
          <w:bCs/>
          <w:szCs w:val="24"/>
        </w:rPr>
        <w:lastRenderedPageBreak/>
        <w:t>Notifying each planning authority for the land to which the request relates about the request and pro</w:t>
      </w:r>
      <w:r w:rsidR="00644163" w:rsidRPr="00913B73">
        <w:rPr>
          <w:rFonts w:ascii="Gill Sans MT" w:hAnsi="Gill Sans MT"/>
          <w:bCs/>
          <w:szCs w:val="24"/>
        </w:rPr>
        <w:t xml:space="preserve">viding them with a copy of the </w:t>
      </w:r>
      <w:r w:rsidR="00F36CA1" w:rsidRPr="00913B73">
        <w:rPr>
          <w:rFonts w:ascii="Gill Sans MT" w:hAnsi="Gill Sans MT"/>
          <w:bCs/>
          <w:szCs w:val="24"/>
        </w:rPr>
        <w:t xml:space="preserve">proponent’s </w:t>
      </w:r>
      <w:r w:rsidR="00644163" w:rsidRPr="00913B73">
        <w:rPr>
          <w:rFonts w:ascii="Gill Sans MT" w:hAnsi="Gill Sans MT"/>
          <w:bCs/>
          <w:szCs w:val="24"/>
        </w:rPr>
        <w:t>Major Project P</w:t>
      </w:r>
      <w:r w:rsidRPr="00913B73">
        <w:rPr>
          <w:rFonts w:ascii="Gill Sans MT" w:hAnsi="Gill Sans MT"/>
          <w:bCs/>
          <w:szCs w:val="24"/>
        </w:rPr>
        <w:t>roposal;</w:t>
      </w:r>
    </w:p>
    <w:p w14:paraId="632D777A" w14:textId="35988EBD" w:rsidR="006D284B" w:rsidRPr="00913B73" w:rsidRDefault="006D284B" w:rsidP="00BE71BE">
      <w:pPr>
        <w:pStyle w:val="ListParagraph"/>
        <w:numPr>
          <w:ilvl w:val="0"/>
          <w:numId w:val="38"/>
        </w:numPr>
        <w:spacing w:after="0"/>
        <w:ind w:left="714" w:hanging="357"/>
        <w:contextualSpacing w:val="0"/>
        <w:rPr>
          <w:rFonts w:ascii="Gill Sans MT" w:hAnsi="Gill Sans MT"/>
          <w:bCs/>
          <w:szCs w:val="24"/>
        </w:rPr>
      </w:pPr>
      <w:r w:rsidRPr="00913B73">
        <w:rPr>
          <w:rFonts w:ascii="Gill Sans MT" w:hAnsi="Gill Sans MT"/>
          <w:bCs/>
          <w:szCs w:val="24"/>
        </w:rPr>
        <w:t>Requesting additional information from the proponent or planning authority</w:t>
      </w:r>
      <w:r w:rsidR="000F160B" w:rsidRPr="00913B73">
        <w:rPr>
          <w:rFonts w:ascii="Gill Sans MT" w:hAnsi="Gill Sans MT"/>
          <w:bCs/>
          <w:szCs w:val="24"/>
        </w:rPr>
        <w:t>,</w:t>
      </w:r>
      <w:r w:rsidRPr="00913B73">
        <w:rPr>
          <w:rFonts w:ascii="Gill Sans MT" w:hAnsi="Gill Sans MT"/>
          <w:bCs/>
          <w:szCs w:val="24"/>
        </w:rPr>
        <w:t xml:space="preserve"> if required, to enable the Minister to determine </w:t>
      </w:r>
      <w:r w:rsidR="000F160B" w:rsidRPr="00913B73">
        <w:rPr>
          <w:rFonts w:ascii="Gill Sans MT" w:hAnsi="Gill Sans MT"/>
          <w:bCs/>
          <w:szCs w:val="24"/>
        </w:rPr>
        <w:t>whether</w:t>
      </w:r>
      <w:r w:rsidRPr="00913B73">
        <w:rPr>
          <w:rFonts w:ascii="Gill Sans MT" w:hAnsi="Gill Sans MT"/>
          <w:bCs/>
          <w:szCs w:val="24"/>
        </w:rPr>
        <w:t xml:space="preserve"> to declare </w:t>
      </w:r>
      <w:r w:rsidR="00C61C70" w:rsidRPr="00913B73">
        <w:rPr>
          <w:rFonts w:ascii="Gill Sans MT" w:hAnsi="Gill Sans MT"/>
          <w:bCs/>
          <w:szCs w:val="24"/>
        </w:rPr>
        <w:t>a project to be a major project;</w:t>
      </w:r>
    </w:p>
    <w:p w14:paraId="3051C2FF" w14:textId="266794FB" w:rsidR="006D284B" w:rsidRPr="00913B73" w:rsidRDefault="00B950C6" w:rsidP="00BE71BE">
      <w:pPr>
        <w:pStyle w:val="ListParagraph"/>
        <w:numPr>
          <w:ilvl w:val="0"/>
          <w:numId w:val="38"/>
        </w:numPr>
        <w:spacing w:after="0"/>
        <w:ind w:left="714" w:hanging="357"/>
        <w:contextualSpacing w:val="0"/>
        <w:rPr>
          <w:rFonts w:ascii="Gill Sans MT" w:hAnsi="Gill Sans MT"/>
          <w:bCs/>
          <w:szCs w:val="24"/>
        </w:rPr>
      </w:pPr>
      <w:r w:rsidRPr="00913B73">
        <w:rPr>
          <w:rFonts w:ascii="Gill Sans MT" w:hAnsi="Gill Sans MT"/>
          <w:bCs/>
          <w:szCs w:val="24"/>
        </w:rPr>
        <w:t xml:space="preserve">Declaring a project to be a major project in response to a request from a proponent, or </w:t>
      </w:r>
      <w:r w:rsidR="000F160B" w:rsidRPr="00913B73">
        <w:rPr>
          <w:rFonts w:ascii="Gill Sans MT" w:hAnsi="Gill Sans MT"/>
          <w:bCs/>
          <w:szCs w:val="24"/>
        </w:rPr>
        <w:t>by the Minister’s</w:t>
      </w:r>
      <w:r w:rsidRPr="00913B73">
        <w:rPr>
          <w:rFonts w:ascii="Gill Sans MT" w:hAnsi="Gill Sans MT"/>
          <w:bCs/>
          <w:szCs w:val="24"/>
        </w:rPr>
        <w:t xml:space="preserve"> own motion</w:t>
      </w:r>
      <w:r w:rsidR="00C61C70" w:rsidRPr="00913B73">
        <w:rPr>
          <w:rFonts w:ascii="Gill Sans MT" w:hAnsi="Gill Sans MT"/>
          <w:bCs/>
          <w:szCs w:val="24"/>
        </w:rPr>
        <w:t>;</w:t>
      </w:r>
    </w:p>
    <w:p w14:paraId="7C931610" w14:textId="6254CD09" w:rsidR="00B239A4" w:rsidRPr="00913B73" w:rsidRDefault="00B239A4" w:rsidP="00BE71BE">
      <w:pPr>
        <w:pStyle w:val="ListParagraph"/>
        <w:numPr>
          <w:ilvl w:val="0"/>
          <w:numId w:val="38"/>
        </w:numPr>
        <w:spacing w:after="0"/>
        <w:ind w:left="714" w:hanging="357"/>
        <w:contextualSpacing w:val="0"/>
        <w:rPr>
          <w:rFonts w:ascii="Gill Sans MT" w:hAnsi="Gill Sans MT"/>
          <w:bCs/>
          <w:szCs w:val="24"/>
        </w:rPr>
      </w:pPr>
      <w:r w:rsidRPr="00913B73">
        <w:rPr>
          <w:rFonts w:ascii="Gill Sans MT" w:hAnsi="Gill Sans MT"/>
          <w:bCs/>
          <w:szCs w:val="24"/>
        </w:rPr>
        <w:t xml:space="preserve">Nominating </w:t>
      </w:r>
      <w:r w:rsidR="000F160B" w:rsidRPr="00913B73">
        <w:rPr>
          <w:rFonts w:ascii="Gill Sans MT" w:hAnsi="Gill Sans MT"/>
          <w:bCs/>
          <w:szCs w:val="24"/>
        </w:rPr>
        <w:t xml:space="preserve">in the notice of declaration, </w:t>
      </w:r>
      <w:r w:rsidRPr="00913B73">
        <w:rPr>
          <w:rFonts w:ascii="Gill Sans MT" w:hAnsi="Gill Sans MT"/>
          <w:bCs/>
          <w:szCs w:val="24"/>
        </w:rPr>
        <w:t xml:space="preserve">a planning authority </w:t>
      </w:r>
      <w:r w:rsidR="00890022" w:rsidRPr="00913B73">
        <w:rPr>
          <w:rFonts w:ascii="Gill Sans MT" w:hAnsi="Gill Sans MT"/>
          <w:bCs/>
          <w:szCs w:val="24"/>
        </w:rPr>
        <w:t xml:space="preserve">in </w:t>
      </w:r>
      <w:r w:rsidR="00AC2869" w:rsidRPr="00913B73">
        <w:rPr>
          <w:rFonts w:ascii="Gill Sans MT" w:hAnsi="Gill Sans MT"/>
          <w:bCs/>
          <w:szCs w:val="24"/>
        </w:rPr>
        <w:t>a</w:t>
      </w:r>
      <w:r w:rsidR="00890022" w:rsidRPr="00913B73">
        <w:rPr>
          <w:rFonts w:ascii="Gill Sans MT" w:hAnsi="Gill Sans MT"/>
          <w:bCs/>
          <w:szCs w:val="24"/>
        </w:rPr>
        <w:t xml:space="preserve"> </w:t>
      </w:r>
      <w:r w:rsidR="00AC2869" w:rsidRPr="00913B73">
        <w:rPr>
          <w:rFonts w:ascii="Gill Sans MT" w:hAnsi="Gill Sans MT"/>
          <w:bCs/>
          <w:szCs w:val="24"/>
        </w:rPr>
        <w:t xml:space="preserve">relevant </w:t>
      </w:r>
      <w:r w:rsidR="00890022" w:rsidRPr="00913B73">
        <w:rPr>
          <w:rFonts w:ascii="Gill Sans MT" w:hAnsi="Gill Sans MT"/>
          <w:bCs/>
          <w:szCs w:val="24"/>
        </w:rPr>
        <w:t>regional area</w:t>
      </w:r>
      <w:r w:rsidRPr="00913B73">
        <w:rPr>
          <w:rFonts w:ascii="Gill Sans MT" w:hAnsi="Gill Sans MT"/>
          <w:bCs/>
          <w:szCs w:val="24"/>
        </w:rPr>
        <w:t xml:space="preserve"> if the </w:t>
      </w:r>
      <w:r w:rsidR="00AC2869" w:rsidRPr="00913B73">
        <w:rPr>
          <w:rFonts w:ascii="Gill Sans MT" w:hAnsi="Gill Sans MT"/>
          <w:bCs/>
          <w:szCs w:val="24"/>
        </w:rPr>
        <w:t xml:space="preserve">major </w:t>
      </w:r>
      <w:r w:rsidRPr="00913B73">
        <w:rPr>
          <w:rFonts w:ascii="Gill Sans MT" w:hAnsi="Gill Sans MT"/>
          <w:bCs/>
          <w:szCs w:val="24"/>
        </w:rPr>
        <w:t>project is to take place on an area of land that is not within any municipal area</w:t>
      </w:r>
      <w:r w:rsidR="00C61C70" w:rsidRPr="00913B73">
        <w:rPr>
          <w:rFonts w:ascii="Gill Sans MT" w:hAnsi="Gill Sans MT"/>
          <w:bCs/>
          <w:szCs w:val="24"/>
        </w:rPr>
        <w:t>;</w:t>
      </w:r>
    </w:p>
    <w:p w14:paraId="6A4ABA91" w14:textId="4CBE1BE4" w:rsidR="004440A0" w:rsidRDefault="004440A0" w:rsidP="00BE71BE">
      <w:pPr>
        <w:pStyle w:val="ListParagraph"/>
        <w:numPr>
          <w:ilvl w:val="0"/>
          <w:numId w:val="38"/>
        </w:numPr>
        <w:spacing w:after="0"/>
        <w:ind w:left="714" w:hanging="357"/>
        <w:contextualSpacing w:val="0"/>
        <w:rPr>
          <w:rFonts w:ascii="Gill Sans MT" w:hAnsi="Gill Sans MT"/>
          <w:bCs/>
          <w:szCs w:val="24"/>
        </w:rPr>
      </w:pPr>
      <w:r w:rsidRPr="00913B73">
        <w:rPr>
          <w:rFonts w:ascii="Gill Sans MT" w:hAnsi="Gill Sans MT"/>
          <w:bCs/>
          <w:szCs w:val="24"/>
        </w:rPr>
        <w:t xml:space="preserve">Providing the Commission </w:t>
      </w:r>
      <w:r w:rsidR="00E17ED6" w:rsidRPr="00913B73">
        <w:rPr>
          <w:rFonts w:ascii="Gill Sans MT" w:hAnsi="Gill Sans MT"/>
          <w:bCs/>
          <w:szCs w:val="24"/>
        </w:rPr>
        <w:t xml:space="preserve">with a notice in relation to a declaration of a major project, </w:t>
      </w:r>
      <w:r w:rsidRPr="00913B73">
        <w:rPr>
          <w:rFonts w:ascii="Gill Sans MT" w:hAnsi="Gill Sans MT"/>
          <w:bCs/>
          <w:szCs w:val="24"/>
        </w:rPr>
        <w:t xml:space="preserve">the Major Project Proposal and any </w:t>
      </w:r>
      <w:r w:rsidR="00E17ED6" w:rsidRPr="00913B73">
        <w:rPr>
          <w:rFonts w:ascii="Gill Sans MT" w:hAnsi="Gill Sans MT"/>
          <w:bCs/>
          <w:szCs w:val="24"/>
        </w:rPr>
        <w:t xml:space="preserve">further </w:t>
      </w:r>
      <w:r w:rsidRPr="00913B73">
        <w:rPr>
          <w:rFonts w:ascii="Gill Sans MT" w:hAnsi="Gill Sans MT"/>
          <w:bCs/>
          <w:szCs w:val="24"/>
        </w:rPr>
        <w:t xml:space="preserve">information </w:t>
      </w:r>
      <w:r w:rsidR="00E17ED6" w:rsidRPr="00913B73">
        <w:rPr>
          <w:rFonts w:ascii="Gill Sans MT" w:hAnsi="Gill Sans MT"/>
          <w:bCs/>
          <w:szCs w:val="24"/>
        </w:rPr>
        <w:t>requested by the</w:t>
      </w:r>
      <w:r w:rsidRPr="00913B73">
        <w:rPr>
          <w:rFonts w:ascii="Gill Sans MT" w:hAnsi="Gill Sans MT"/>
          <w:bCs/>
          <w:szCs w:val="24"/>
        </w:rPr>
        <w:t xml:space="preserve"> Minister </w:t>
      </w:r>
      <w:r w:rsidR="00E17ED6" w:rsidRPr="00913B73">
        <w:rPr>
          <w:rFonts w:ascii="Gill Sans MT" w:hAnsi="Gill Sans MT"/>
          <w:bCs/>
          <w:szCs w:val="24"/>
        </w:rPr>
        <w:t xml:space="preserve">from the proponent or a planning authority </w:t>
      </w:r>
      <w:r w:rsidRPr="00913B73">
        <w:rPr>
          <w:rFonts w:ascii="Gill Sans MT" w:hAnsi="Gill Sans MT"/>
          <w:bCs/>
          <w:szCs w:val="24"/>
        </w:rPr>
        <w:t>in relation to the major project;</w:t>
      </w:r>
    </w:p>
    <w:p w14:paraId="054C70B5" w14:textId="5137911D" w:rsidR="00141C7A" w:rsidRPr="00913B73" w:rsidRDefault="00141C7A" w:rsidP="00BE71BE">
      <w:pPr>
        <w:pStyle w:val="ListParagraph"/>
        <w:numPr>
          <w:ilvl w:val="0"/>
          <w:numId w:val="38"/>
        </w:numPr>
        <w:spacing w:after="0"/>
        <w:ind w:left="714" w:hanging="357"/>
        <w:contextualSpacing w:val="0"/>
        <w:rPr>
          <w:rFonts w:ascii="Gill Sans MT" w:hAnsi="Gill Sans MT"/>
          <w:bCs/>
          <w:szCs w:val="24"/>
        </w:rPr>
      </w:pPr>
      <w:r w:rsidRPr="00913B73">
        <w:rPr>
          <w:rFonts w:ascii="Gill Sans MT" w:hAnsi="Gill Sans MT"/>
          <w:bCs/>
          <w:szCs w:val="24"/>
        </w:rPr>
        <w:t xml:space="preserve">Considering any submission or comments </w:t>
      </w:r>
      <w:r w:rsidR="00F36CA1" w:rsidRPr="00913B73">
        <w:rPr>
          <w:rFonts w:ascii="Gill Sans MT" w:hAnsi="Gill Sans MT"/>
          <w:bCs/>
          <w:szCs w:val="24"/>
        </w:rPr>
        <w:t>received by the Panel</w:t>
      </w:r>
      <w:r w:rsidR="007337DD" w:rsidRPr="00913B73">
        <w:rPr>
          <w:rFonts w:ascii="Gill Sans MT" w:hAnsi="Gill Sans MT"/>
          <w:bCs/>
          <w:szCs w:val="24"/>
        </w:rPr>
        <w:t xml:space="preserve"> </w:t>
      </w:r>
      <w:r w:rsidRPr="00913B73">
        <w:rPr>
          <w:rFonts w:ascii="Gill Sans MT" w:hAnsi="Gill Sans MT"/>
          <w:bCs/>
          <w:szCs w:val="24"/>
        </w:rPr>
        <w:t xml:space="preserve">when it </w:t>
      </w:r>
      <w:r w:rsidR="009B41E1" w:rsidRPr="00913B73">
        <w:rPr>
          <w:rFonts w:ascii="Gill Sans MT" w:hAnsi="Gill Sans MT"/>
          <w:bCs/>
          <w:szCs w:val="24"/>
        </w:rPr>
        <w:t>notifies the</w:t>
      </w:r>
      <w:r w:rsidRPr="00913B73">
        <w:rPr>
          <w:rFonts w:ascii="Gill Sans MT" w:hAnsi="Gill Sans MT"/>
          <w:bCs/>
          <w:szCs w:val="24"/>
        </w:rPr>
        <w:t xml:space="preserve"> Min</w:t>
      </w:r>
      <w:r w:rsidR="001D1ED2" w:rsidRPr="00913B73">
        <w:rPr>
          <w:rFonts w:ascii="Gill Sans MT" w:hAnsi="Gill Sans MT"/>
          <w:bCs/>
          <w:szCs w:val="24"/>
        </w:rPr>
        <w:t xml:space="preserve">ister that a major project has </w:t>
      </w:r>
      <w:r w:rsidR="00BE71BE" w:rsidRPr="00913B73">
        <w:rPr>
          <w:rFonts w:ascii="Gill Sans MT" w:hAnsi="Gill Sans MT"/>
          <w:bCs/>
          <w:szCs w:val="24"/>
        </w:rPr>
        <w:t>‘</w:t>
      </w:r>
      <w:r w:rsidR="001D1ED2" w:rsidRPr="00913B73">
        <w:rPr>
          <w:rFonts w:ascii="Gill Sans MT" w:hAnsi="Gill Sans MT"/>
          <w:bCs/>
          <w:szCs w:val="24"/>
        </w:rPr>
        <w:t>no reasonable prospect</w:t>
      </w:r>
      <w:r w:rsidR="00BE71BE" w:rsidRPr="00913B73">
        <w:rPr>
          <w:rFonts w:ascii="Gill Sans MT" w:hAnsi="Gill Sans MT"/>
          <w:bCs/>
          <w:szCs w:val="24"/>
        </w:rPr>
        <w:t>’</w:t>
      </w:r>
      <w:r w:rsidRPr="00913B73">
        <w:rPr>
          <w:rFonts w:ascii="Gill Sans MT" w:hAnsi="Gill Sans MT"/>
          <w:bCs/>
          <w:szCs w:val="24"/>
        </w:rPr>
        <w:t xml:space="preserve"> of being approved</w:t>
      </w:r>
      <w:r w:rsidR="000F160B" w:rsidRPr="00913B73">
        <w:rPr>
          <w:rFonts w:ascii="Gill Sans MT" w:hAnsi="Gill Sans MT"/>
          <w:bCs/>
          <w:szCs w:val="24"/>
        </w:rPr>
        <w:t xml:space="preserve">, prior to </w:t>
      </w:r>
      <w:r w:rsidR="009B41E1" w:rsidRPr="00913B73">
        <w:rPr>
          <w:rFonts w:ascii="Gill Sans MT" w:hAnsi="Gill Sans MT"/>
          <w:bCs/>
          <w:szCs w:val="24"/>
        </w:rPr>
        <w:t xml:space="preserve">the Minister </w:t>
      </w:r>
      <w:r w:rsidR="000F160B" w:rsidRPr="00913B73">
        <w:rPr>
          <w:rFonts w:ascii="Gill Sans MT" w:hAnsi="Gill Sans MT"/>
          <w:bCs/>
          <w:szCs w:val="24"/>
        </w:rPr>
        <w:t>revoking a declaration</w:t>
      </w:r>
      <w:r w:rsidR="00274198" w:rsidRPr="00913B73">
        <w:rPr>
          <w:rFonts w:ascii="Gill Sans MT" w:hAnsi="Gill Sans MT"/>
          <w:bCs/>
          <w:szCs w:val="24"/>
        </w:rPr>
        <w:t xml:space="preserve"> of a major project;</w:t>
      </w:r>
    </w:p>
    <w:p w14:paraId="4DEFAEE2" w14:textId="66C9BBB7" w:rsidR="0064104D" w:rsidRPr="00913B73" w:rsidRDefault="00746B47" w:rsidP="00BE71BE">
      <w:pPr>
        <w:pStyle w:val="ListParagraph"/>
        <w:numPr>
          <w:ilvl w:val="0"/>
          <w:numId w:val="38"/>
        </w:numPr>
        <w:spacing w:after="0"/>
        <w:ind w:left="714" w:hanging="357"/>
        <w:contextualSpacing w:val="0"/>
        <w:rPr>
          <w:rFonts w:ascii="Gill Sans MT" w:hAnsi="Gill Sans MT"/>
          <w:bCs/>
          <w:szCs w:val="24"/>
        </w:rPr>
      </w:pPr>
      <w:r w:rsidRPr="00913B73">
        <w:rPr>
          <w:rFonts w:ascii="Gill Sans MT" w:hAnsi="Gill Sans MT"/>
          <w:bCs/>
          <w:szCs w:val="24"/>
        </w:rPr>
        <w:t>Revoking</w:t>
      </w:r>
      <w:r w:rsidR="009D7F61" w:rsidRPr="00913B73">
        <w:rPr>
          <w:rFonts w:ascii="Gill Sans MT" w:hAnsi="Gill Sans MT"/>
          <w:bCs/>
          <w:szCs w:val="24"/>
        </w:rPr>
        <w:t xml:space="preserve"> the declaration of </w:t>
      </w:r>
      <w:r w:rsidR="00473414">
        <w:rPr>
          <w:rFonts w:ascii="Gill Sans MT" w:hAnsi="Gill Sans MT"/>
          <w:bCs/>
          <w:szCs w:val="24"/>
        </w:rPr>
        <w:t>a</w:t>
      </w:r>
      <w:r w:rsidR="009D7F61" w:rsidRPr="00913B73">
        <w:rPr>
          <w:rFonts w:ascii="Gill Sans MT" w:hAnsi="Gill Sans MT"/>
          <w:bCs/>
          <w:szCs w:val="24"/>
        </w:rPr>
        <w:t xml:space="preserve"> </w:t>
      </w:r>
      <w:r w:rsidR="008E2338" w:rsidRPr="00913B73">
        <w:rPr>
          <w:rFonts w:ascii="Gill Sans MT" w:hAnsi="Gill Sans MT"/>
          <w:bCs/>
          <w:szCs w:val="24"/>
        </w:rPr>
        <w:t xml:space="preserve">major </w:t>
      </w:r>
      <w:r w:rsidR="009D7F61" w:rsidRPr="00913B73">
        <w:rPr>
          <w:rFonts w:ascii="Gill Sans MT" w:hAnsi="Gill Sans MT"/>
          <w:bCs/>
          <w:szCs w:val="24"/>
        </w:rPr>
        <w:t>project in prescribed circumstances</w:t>
      </w:r>
      <w:r w:rsidR="00FD6026">
        <w:rPr>
          <w:rFonts w:ascii="Gill Sans MT" w:hAnsi="Gill Sans MT"/>
          <w:bCs/>
          <w:szCs w:val="24"/>
        </w:rPr>
        <w:t>; </w:t>
      </w:r>
      <w:r w:rsidR="00BE71BE" w:rsidRPr="00913B73">
        <w:rPr>
          <w:rFonts w:ascii="Gill Sans MT" w:hAnsi="Gill Sans MT"/>
          <w:bCs/>
          <w:szCs w:val="24"/>
        </w:rPr>
        <w:t>and</w:t>
      </w:r>
    </w:p>
    <w:p w14:paraId="594C46D5" w14:textId="6E83301A" w:rsidR="008E5BB8" w:rsidRPr="00913B73" w:rsidRDefault="004A2120" w:rsidP="006712A4">
      <w:pPr>
        <w:pStyle w:val="ListParagraph"/>
        <w:numPr>
          <w:ilvl w:val="0"/>
          <w:numId w:val="38"/>
        </w:numPr>
        <w:spacing w:after="0"/>
        <w:ind w:left="714" w:hanging="357"/>
        <w:contextualSpacing w:val="0"/>
        <w:rPr>
          <w:rFonts w:ascii="Gill Sans MT" w:hAnsi="Gill Sans MT"/>
          <w:bCs/>
          <w:szCs w:val="24"/>
        </w:rPr>
      </w:pPr>
      <w:r w:rsidRPr="00913B73">
        <w:rPr>
          <w:rFonts w:ascii="Gill Sans MT" w:hAnsi="Gill Sans MT"/>
          <w:bCs/>
          <w:szCs w:val="24"/>
        </w:rPr>
        <w:t>Determining whether to e</w:t>
      </w:r>
      <w:r w:rsidR="00EB6FD9" w:rsidRPr="00913B73">
        <w:rPr>
          <w:rFonts w:ascii="Gill Sans MT" w:hAnsi="Gill Sans MT"/>
          <w:bCs/>
          <w:szCs w:val="24"/>
        </w:rPr>
        <w:t>xtend</w:t>
      </w:r>
      <w:r w:rsidRPr="00913B73">
        <w:rPr>
          <w:rFonts w:ascii="Gill Sans MT" w:hAnsi="Gill Sans MT"/>
          <w:bCs/>
          <w:szCs w:val="24"/>
        </w:rPr>
        <w:t xml:space="preserve"> </w:t>
      </w:r>
      <w:r w:rsidR="00FD6026">
        <w:rPr>
          <w:rFonts w:ascii="Gill Sans MT" w:hAnsi="Gill Sans MT"/>
          <w:bCs/>
          <w:szCs w:val="24"/>
        </w:rPr>
        <w:t>a</w:t>
      </w:r>
      <w:r w:rsidR="008E2338" w:rsidRPr="00913B73">
        <w:rPr>
          <w:rFonts w:ascii="Gill Sans MT" w:hAnsi="Gill Sans MT"/>
          <w:bCs/>
          <w:szCs w:val="24"/>
        </w:rPr>
        <w:t xml:space="preserve"> </w:t>
      </w:r>
      <w:r w:rsidR="00EB6FD9" w:rsidRPr="00913B73">
        <w:rPr>
          <w:rFonts w:ascii="Gill Sans MT" w:hAnsi="Gill Sans MT"/>
          <w:bCs/>
          <w:szCs w:val="24"/>
        </w:rPr>
        <w:t xml:space="preserve">statutory assessment timeframe </w:t>
      </w:r>
      <w:r w:rsidR="009D7F61" w:rsidRPr="00913B73">
        <w:rPr>
          <w:rFonts w:ascii="Gill Sans MT" w:hAnsi="Gill Sans MT"/>
          <w:bCs/>
          <w:szCs w:val="24"/>
        </w:rPr>
        <w:t>on application from the Panel</w:t>
      </w:r>
      <w:r w:rsidR="00621CD3" w:rsidRPr="00913B73">
        <w:rPr>
          <w:rFonts w:ascii="Gill Sans MT" w:hAnsi="Gill Sans MT"/>
          <w:bCs/>
          <w:szCs w:val="24"/>
        </w:rPr>
        <w:t xml:space="preserve"> or a participating regulator</w:t>
      </w:r>
      <w:r w:rsidR="009D7F61" w:rsidRPr="00913B73">
        <w:rPr>
          <w:rFonts w:ascii="Gill Sans MT" w:hAnsi="Gill Sans MT"/>
          <w:bCs/>
          <w:szCs w:val="24"/>
        </w:rPr>
        <w:t>.</w:t>
      </w:r>
    </w:p>
    <w:p w14:paraId="02DE578E" w14:textId="77777777" w:rsidR="003F26EB" w:rsidRPr="00DB298F" w:rsidRDefault="00655521" w:rsidP="009A4570">
      <w:pPr>
        <w:pStyle w:val="Heading2"/>
      </w:pPr>
      <w:r>
        <w:t xml:space="preserve">Role of the </w:t>
      </w:r>
      <w:r w:rsidR="008840EA">
        <w:t xml:space="preserve">Development </w:t>
      </w:r>
      <w:r>
        <w:t>Assessment Panel</w:t>
      </w:r>
    </w:p>
    <w:p w14:paraId="56E12ECA" w14:textId="1069773A" w:rsidR="005F23E8" w:rsidRPr="00D927C5" w:rsidRDefault="00FD5C23" w:rsidP="005F23E8">
      <w:pPr>
        <w:spacing w:after="100" w:afterAutospacing="1"/>
        <w:rPr>
          <w:rFonts w:ascii="Gill Sans MT" w:hAnsi="Gill Sans MT"/>
          <w:bCs/>
          <w:szCs w:val="24"/>
        </w:rPr>
      </w:pPr>
      <w:r>
        <w:rPr>
          <w:rFonts w:ascii="Gill Sans MT" w:hAnsi="Gill Sans MT"/>
          <w:bCs/>
          <w:szCs w:val="24"/>
        </w:rPr>
        <w:t>The Commission establishes the Panel</w:t>
      </w:r>
      <w:r w:rsidR="00464F9C">
        <w:rPr>
          <w:rFonts w:ascii="Gill Sans MT" w:hAnsi="Gill Sans MT"/>
          <w:bCs/>
          <w:szCs w:val="24"/>
        </w:rPr>
        <w:t>,</w:t>
      </w:r>
      <w:r w:rsidR="008469BC">
        <w:rPr>
          <w:rFonts w:ascii="Gill Sans MT" w:hAnsi="Gill Sans MT"/>
          <w:bCs/>
          <w:szCs w:val="24"/>
        </w:rPr>
        <w:t xml:space="preserve"> and a</w:t>
      </w:r>
      <w:r w:rsidR="005F23E8" w:rsidRPr="00D927C5">
        <w:rPr>
          <w:rFonts w:ascii="Gill Sans MT" w:hAnsi="Gill Sans MT"/>
          <w:bCs/>
          <w:szCs w:val="24"/>
        </w:rPr>
        <w:t xml:space="preserve"> </w:t>
      </w:r>
      <w:r w:rsidRPr="00D927C5">
        <w:rPr>
          <w:rFonts w:ascii="Gill Sans MT" w:hAnsi="Gill Sans MT"/>
          <w:bCs/>
          <w:szCs w:val="24"/>
        </w:rPr>
        <w:t xml:space="preserve">member or nominee of the Commission </w:t>
      </w:r>
      <w:r>
        <w:rPr>
          <w:rFonts w:ascii="Gill Sans MT" w:hAnsi="Gill Sans MT"/>
          <w:bCs/>
          <w:szCs w:val="24"/>
        </w:rPr>
        <w:t>will</w:t>
      </w:r>
      <w:r w:rsidR="008469BC">
        <w:rPr>
          <w:rFonts w:ascii="Gill Sans MT" w:hAnsi="Gill Sans MT"/>
          <w:bCs/>
          <w:szCs w:val="24"/>
        </w:rPr>
        <w:t xml:space="preserve"> chair the</w:t>
      </w:r>
      <w:r w:rsidRPr="00D927C5">
        <w:rPr>
          <w:rFonts w:ascii="Gill Sans MT" w:hAnsi="Gill Sans MT"/>
          <w:bCs/>
          <w:szCs w:val="24"/>
        </w:rPr>
        <w:t xml:space="preserve"> Panel</w:t>
      </w:r>
      <w:r w:rsidR="006F348C" w:rsidRPr="00D927C5">
        <w:rPr>
          <w:rFonts w:ascii="Gill Sans MT" w:hAnsi="Gill Sans MT"/>
          <w:bCs/>
          <w:szCs w:val="24"/>
        </w:rPr>
        <w:t xml:space="preserve">. </w:t>
      </w:r>
      <w:r w:rsidR="00054359">
        <w:rPr>
          <w:rFonts w:ascii="Gill Sans MT" w:hAnsi="Gill Sans MT"/>
          <w:bCs/>
          <w:szCs w:val="24"/>
        </w:rPr>
        <w:t>The Panel</w:t>
      </w:r>
      <w:r w:rsidR="006F348C" w:rsidRPr="00D927C5">
        <w:rPr>
          <w:rFonts w:ascii="Gill Sans MT" w:hAnsi="Gill Sans MT"/>
          <w:bCs/>
          <w:szCs w:val="24"/>
        </w:rPr>
        <w:t xml:space="preserve"> </w:t>
      </w:r>
      <w:r w:rsidR="005F23E8" w:rsidRPr="00D927C5">
        <w:rPr>
          <w:rFonts w:ascii="Gill Sans MT" w:hAnsi="Gill Sans MT"/>
          <w:bCs/>
          <w:szCs w:val="24"/>
        </w:rPr>
        <w:t xml:space="preserve">will </w:t>
      </w:r>
      <w:r w:rsidR="00054359">
        <w:rPr>
          <w:rFonts w:ascii="Gill Sans MT" w:hAnsi="Gill Sans MT"/>
          <w:bCs/>
          <w:szCs w:val="24"/>
        </w:rPr>
        <w:t xml:space="preserve">also </w:t>
      </w:r>
      <w:r w:rsidR="005F23E8" w:rsidRPr="00D927C5">
        <w:rPr>
          <w:rFonts w:ascii="Gill Sans MT" w:hAnsi="Gill Sans MT"/>
          <w:bCs/>
          <w:szCs w:val="24"/>
        </w:rPr>
        <w:t>include local government representation and members with expertise in land use planning, urban and regional development, commerce or industry, or practical knowledge and experience in the provision of buildings and other infrastructure.</w:t>
      </w:r>
    </w:p>
    <w:p w14:paraId="7F2BBE1B" w14:textId="0450194B" w:rsidR="005F23E8" w:rsidRPr="00D927C5" w:rsidRDefault="005F23E8" w:rsidP="005F23E8">
      <w:pPr>
        <w:spacing w:after="100" w:afterAutospacing="1"/>
        <w:rPr>
          <w:rFonts w:ascii="Gill Sans MT" w:hAnsi="Gill Sans MT"/>
          <w:bCs/>
          <w:szCs w:val="24"/>
        </w:rPr>
      </w:pPr>
      <w:r w:rsidRPr="00D927C5">
        <w:rPr>
          <w:rFonts w:ascii="Gill Sans MT" w:hAnsi="Gill Sans MT"/>
          <w:bCs/>
          <w:szCs w:val="24"/>
        </w:rPr>
        <w:t xml:space="preserve">The Panel </w:t>
      </w:r>
      <w:r w:rsidR="00ED0DA3" w:rsidRPr="00D927C5">
        <w:rPr>
          <w:rFonts w:ascii="Gill Sans MT" w:hAnsi="Gill Sans MT"/>
          <w:bCs/>
          <w:szCs w:val="24"/>
        </w:rPr>
        <w:t xml:space="preserve">comprises a minimum of </w:t>
      </w:r>
      <w:r w:rsidR="00A92E30" w:rsidRPr="00D927C5">
        <w:rPr>
          <w:rFonts w:ascii="Gill Sans MT" w:hAnsi="Gill Sans MT"/>
          <w:bCs/>
          <w:szCs w:val="24"/>
        </w:rPr>
        <w:t xml:space="preserve">three </w:t>
      </w:r>
      <w:r w:rsidR="00ED0DA3" w:rsidRPr="00D927C5">
        <w:rPr>
          <w:rFonts w:ascii="Gill Sans MT" w:hAnsi="Gill Sans MT"/>
          <w:bCs/>
          <w:szCs w:val="24"/>
        </w:rPr>
        <w:t xml:space="preserve">members but </w:t>
      </w:r>
      <w:r w:rsidRPr="00D927C5">
        <w:rPr>
          <w:rFonts w:ascii="Gill Sans MT" w:hAnsi="Gill Sans MT"/>
          <w:bCs/>
          <w:szCs w:val="24"/>
        </w:rPr>
        <w:t xml:space="preserve">may consist </w:t>
      </w:r>
      <w:r w:rsidR="00ED0DA3" w:rsidRPr="00D927C5">
        <w:rPr>
          <w:rFonts w:ascii="Gill Sans MT" w:hAnsi="Gill Sans MT"/>
          <w:bCs/>
          <w:szCs w:val="24"/>
        </w:rPr>
        <w:t>of up to</w:t>
      </w:r>
      <w:r w:rsidR="00A92E30" w:rsidRPr="00D927C5">
        <w:rPr>
          <w:rFonts w:ascii="Gill Sans MT" w:hAnsi="Gill Sans MT"/>
          <w:bCs/>
          <w:szCs w:val="24"/>
        </w:rPr>
        <w:t xml:space="preserve"> five </w:t>
      </w:r>
      <w:r w:rsidR="00ED0DA3" w:rsidRPr="00D927C5">
        <w:rPr>
          <w:rFonts w:ascii="Gill Sans MT" w:hAnsi="Gill Sans MT"/>
          <w:bCs/>
          <w:szCs w:val="24"/>
        </w:rPr>
        <w:t xml:space="preserve">members. </w:t>
      </w:r>
      <w:r w:rsidR="007419C2" w:rsidRPr="00D927C5">
        <w:rPr>
          <w:rFonts w:ascii="Gill Sans MT" w:hAnsi="Gill Sans MT"/>
          <w:bCs/>
          <w:szCs w:val="24"/>
        </w:rPr>
        <w:t>The P</w:t>
      </w:r>
      <w:r w:rsidR="006F348C" w:rsidRPr="00D927C5">
        <w:rPr>
          <w:rFonts w:ascii="Gill Sans MT" w:hAnsi="Gill Sans MT"/>
          <w:bCs/>
          <w:szCs w:val="24"/>
        </w:rPr>
        <w:t xml:space="preserve">anel </w:t>
      </w:r>
      <w:r w:rsidR="00286461">
        <w:rPr>
          <w:rFonts w:ascii="Gill Sans MT" w:hAnsi="Gill Sans MT"/>
          <w:bCs/>
          <w:szCs w:val="24"/>
        </w:rPr>
        <w:t xml:space="preserve">must </w:t>
      </w:r>
      <w:r w:rsidR="00286461" w:rsidRPr="00286461">
        <w:rPr>
          <w:rFonts w:ascii="Gill Sans MT" w:hAnsi="Gill Sans MT"/>
          <w:bCs/>
          <w:szCs w:val="24"/>
        </w:rPr>
        <w:t xml:space="preserve">comply with the procedures </w:t>
      </w:r>
      <w:r w:rsidR="00286461">
        <w:rPr>
          <w:rFonts w:ascii="Gill Sans MT" w:hAnsi="Gill Sans MT"/>
          <w:bCs/>
          <w:szCs w:val="24"/>
        </w:rPr>
        <w:t xml:space="preserve">that have been </w:t>
      </w:r>
      <w:r w:rsidR="00286461" w:rsidRPr="00286461">
        <w:rPr>
          <w:rFonts w:ascii="Gill Sans MT" w:hAnsi="Gill Sans MT"/>
          <w:bCs/>
          <w:szCs w:val="24"/>
        </w:rPr>
        <w:t xml:space="preserve">established </w:t>
      </w:r>
      <w:r w:rsidR="00286461">
        <w:rPr>
          <w:rFonts w:ascii="Gill Sans MT" w:hAnsi="Gill Sans MT"/>
          <w:bCs/>
          <w:szCs w:val="24"/>
        </w:rPr>
        <w:t xml:space="preserve">and approved </w:t>
      </w:r>
      <w:r w:rsidR="00286461" w:rsidRPr="00286461">
        <w:rPr>
          <w:rFonts w:ascii="Gill Sans MT" w:hAnsi="Gill Sans MT"/>
          <w:bCs/>
          <w:szCs w:val="24"/>
        </w:rPr>
        <w:t>by the Commission</w:t>
      </w:r>
      <w:r w:rsidR="00286461">
        <w:rPr>
          <w:rFonts w:ascii="Gill Sans MT" w:hAnsi="Gill Sans MT"/>
          <w:bCs/>
          <w:szCs w:val="24"/>
        </w:rPr>
        <w:t>,</w:t>
      </w:r>
      <w:r w:rsidR="00286461" w:rsidRPr="00286461">
        <w:rPr>
          <w:rFonts w:ascii="Gill Sans MT" w:hAnsi="Gill Sans MT"/>
          <w:bCs/>
          <w:szCs w:val="24"/>
        </w:rPr>
        <w:t xml:space="preserve"> </w:t>
      </w:r>
      <w:r w:rsidRPr="00D927C5">
        <w:rPr>
          <w:rFonts w:ascii="Gill Sans MT" w:hAnsi="Gill Sans MT"/>
          <w:bCs/>
          <w:szCs w:val="24"/>
        </w:rPr>
        <w:t xml:space="preserve">subject to the provisions of </w:t>
      </w:r>
      <w:r w:rsidR="002241F3">
        <w:rPr>
          <w:rFonts w:ascii="Gill Sans MT" w:hAnsi="Gill Sans MT"/>
          <w:bCs/>
          <w:szCs w:val="24"/>
        </w:rPr>
        <w:t>the</w:t>
      </w:r>
      <w:r w:rsidRPr="00D927C5">
        <w:rPr>
          <w:rFonts w:ascii="Gill Sans MT" w:hAnsi="Gill Sans MT"/>
          <w:bCs/>
          <w:szCs w:val="24"/>
        </w:rPr>
        <w:t xml:space="preserve"> draft Bill and Part 3 of the </w:t>
      </w:r>
      <w:r w:rsidRPr="00D927C5">
        <w:rPr>
          <w:rFonts w:ascii="Gill Sans MT" w:hAnsi="Gill Sans MT"/>
          <w:bCs/>
          <w:i/>
          <w:szCs w:val="24"/>
        </w:rPr>
        <w:t>Tasmanian Planning Commission Act 1997</w:t>
      </w:r>
      <w:r w:rsidRPr="00D927C5">
        <w:rPr>
          <w:rFonts w:ascii="Gill Sans MT" w:hAnsi="Gill Sans MT"/>
          <w:bCs/>
          <w:szCs w:val="24"/>
        </w:rPr>
        <w:t>.</w:t>
      </w:r>
    </w:p>
    <w:p w14:paraId="26D18594" w14:textId="58A90096" w:rsidR="00052BCE" w:rsidRPr="00D927C5" w:rsidRDefault="00640E26" w:rsidP="00D65677">
      <w:pPr>
        <w:spacing w:after="100" w:afterAutospacing="1"/>
        <w:rPr>
          <w:rFonts w:ascii="Gill Sans MT" w:hAnsi="Gill Sans MT"/>
          <w:bCs/>
          <w:szCs w:val="24"/>
        </w:rPr>
      </w:pPr>
      <w:r w:rsidRPr="00D927C5">
        <w:rPr>
          <w:rFonts w:ascii="Gill Sans MT" w:hAnsi="Gill Sans MT"/>
          <w:bCs/>
          <w:szCs w:val="24"/>
        </w:rPr>
        <w:t xml:space="preserve">The </w:t>
      </w:r>
      <w:r w:rsidR="00746B47" w:rsidRPr="00D927C5">
        <w:rPr>
          <w:rFonts w:ascii="Gill Sans MT" w:hAnsi="Gill Sans MT"/>
          <w:bCs/>
          <w:szCs w:val="24"/>
        </w:rPr>
        <w:t>role of the Panel</w:t>
      </w:r>
      <w:r w:rsidR="00F22EC0" w:rsidRPr="00D927C5">
        <w:rPr>
          <w:rFonts w:ascii="Gill Sans MT" w:hAnsi="Gill Sans MT"/>
          <w:bCs/>
          <w:szCs w:val="24"/>
        </w:rPr>
        <w:t xml:space="preserve"> </w:t>
      </w:r>
      <w:r w:rsidR="00052BCE" w:rsidRPr="00D927C5">
        <w:rPr>
          <w:rFonts w:ascii="Gill Sans MT" w:hAnsi="Gill Sans MT"/>
          <w:bCs/>
          <w:szCs w:val="24"/>
        </w:rPr>
        <w:t>is to co</w:t>
      </w:r>
      <w:r w:rsidR="00BC1F02" w:rsidRPr="00D927C5">
        <w:rPr>
          <w:rFonts w:ascii="Gill Sans MT" w:hAnsi="Gill Sans MT"/>
          <w:bCs/>
          <w:szCs w:val="24"/>
        </w:rPr>
        <w:t xml:space="preserve">ordinate the assessment process, </w:t>
      </w:r>
      <w:r w:rsidR="00052BCE" w:rsidRPr="00D927C5">
        <w:rPr>
          <w:rFonts w:ascii="Gill Sans MT" w:hAnsi="Gill Sans MT"/>
          <w:bCs/>
          <w:szCs w:val="24"/>
        </w:rPr>
        <w:t>conduct the land use planning assessment</w:t>
      </w:r>
      <w:r w:rsidR="00BC1F02" w:rsidRPr="00D927C5">
        <w:rPr>
          <w:rFonts w:ascii="Gill Sans MT" w:hAnsi="Gill Sans MT"/>
          <w:bCs/>
          <w:szCs w:val="24"/>
        </w:rPr>
        <w:t xml:space="preserve"> an</w:t>
      </w:r>
      <w:r w:rsidR="009B41E1" w:rsidRPr="00D927C5">
        <w:rPr>
          <w:rFonts w:ascii="Gill Sans MT" w:hAnsi="Gill Sans MT"/>
          <w:bCs/>
          <w:szCs w:val="24"/>
        </w:rPr>
        <w:t xml:space="preserve">d determine whether to </w:t>
      </w:r>
      <w:r w:rsidR="006F348C" w:rsidRPr="00D927C5">
        <w:rPr>
          <w:rFonts w:ascii="Gill Sans MT" w:hAnsi="Gill Sans MT"/>
          <w:bCs/>
          <w:szCs w:val="24"/>
        </w:rPr>
        <w:t>grant a Major Project P</w:t>
      </w:r>
      <w:r w:rsidR="00BC1F02" w:rsidRPr="00D927C5">
        <w:rPr>
          <w:rFonts w:ascii="Gill Sans MT" w:hAnsi="Gill Sans MT"/>
          <w:bCs/>
          <w:szCs w:val="24"/>
        </w:rPr>
        <w:t>ermit</w:t>
      </w:r>
      <w:r w:rsidR="00052BCE" w:rsidRPr="00D927C5">
        <w:rPr>
          <w:rFonts w:ascii="Gill Sans MT" w:hAnsi="Gill Sans MT"/>
          <w:bCs/>
          <w:szCs w:val="24"/>
        </w:rPr>
        <w:t>. This includes:</w:t>
      </w:r>
    </w:p>
    <w:p w14:paraId="4EFE51F0" w14:textId="165E432F" w:rsidR="00312FC8" w:rsidRPr="00D927C5" w:rsidRDefault="00D343F0" w:rsidP="008C0D42">
      <w:pPr>
        <w:pStyle w:val="ListParagraph"/>
        <w:numPr>
          <w:ilvl w:val="0"/>
          <w:numId w:val="40"/>
        </w:numPr>
        <w:spacing w:after="0"/>
        <w:ind w:left="714" w:hanging="357"/>
        <w:contextualSpacing w:val="0"/>
        <w:rPr>
          <w:rFonts w:ascii="Gill Sans MT" w:hAnsi="Gill Sans MT"/>
          <w:bCs/>
          <w:szCs w:val="24"/>
        </w:rPr>
      </w:pPr>
      <w:r w:rsidRPr="00D927C5">
        <w:rPr>
          <w:rFonts w:ascii="Gill Sans MT" w:hAnsi="Gill Sans MT"/>
          <w:bCs/>
          <w:szCs w:val="24"/>
        </w:rPr>
        <w:t xml:space="preserve">In consultation with participating regulators, </w:t>
      </w:r>
      <w:r w:rsidR="00312FC8" w:rsidRPr="00D927C5">
        <w:rPr>
          <w:rFonts w:ascii="Gill Sans MT" w:hAnsi="Gill Sans MT"/>
          <w:bCs/>
          <w:szCs w:val="24"/>
        </w:rPr>
        <w:t>developing</w:t>
      </w:r>
      <w:r w:rsidR="00F609EF" w:rsidRPr="00D927C5">
        <w:rPr>
          <w:rFonts w:ascii="Gill Sans MT" w:hAnsi="Gill Sans MT"/>
          <w:bCs/>
          <w:szCs w:val="24"/>
        </w:rPr>
        <w:t xml:space="preserve"> the Assessment Guidelines</w:t>
      </w:r>
      <w:r w:rsidR="00312FC8" w:rsidRPr="00D927C5">
        <w:rPr>
          <w:rFonts w:ascii="Gill Sans MT" w:hAnsi="Gill Sans MT"/>
          <w:bCs/>
          <w:szCs w:val="24"/>
        </w:rPr>
        <w:t xml:space="preserve">, including (where relevant) notifying the </w:t>
      </w:r>
      <w:r w:rsidR="00312FC8" w:rsidRPr="00D927C5">
        <w:rPr>
          <w:rFonts w:ascii="Gill Sans MT" w:hAnsi="Gill Sans MT"/>
          <w:bCs/>
          <w:szCs w:val="24"/>
        </w:rPr>
        <w:lastRenderedPageBreak/>
        <w:t xml:space="preserve">Minister if the project has </w:t>
      </w:r>
      <w:r w:rsidR="00166883">
        <w:rPr>
          <w:rFonts w:ascii="Gill Sans MT" w:hAnsi="Gill Sans MT"/>
          <w:bCs/>
          <w:szCs w:val="24"/>
        </w:rPr>
        <w:t>‘</w:t>
      </w:r>
      <w:r w:rsidR="00312FC8" w:rsidRPr="00D927C5">
        <w:rPr>
          <w:rFonts w:ascii="Gill Sans MT" w:hAnsi="Gill Sans MT"/>
          <w:bCs/>
          <w:szCs w:val="24"/>
        </w:rPr>
        <w:t>no reasonable prospect</w:t>
      </w:r>
      <w:r w:rsidR="00166883">
        <w:rPr>
          <w:rFonts w:ascii="Gill Sans MT" w:hAnsi="Gill Sans MT"/>
          <w:bCs/>
          <w:szCs w:val="24"/>
        </w:rPr>
        <w:t>’</w:t>
      </w:r>
      <w:r w:rsidR="00312FC8" w:rsidRPr="00D927C5">
        <w:rPr>
          <w:rFonts w:ascii="Gill Sans MT" w:hAnsi="Gill Sans MT"/>
          <w:bCs/>
          <w:szCs w:val="24"/>
        </w:rPr>
        <w:t xml:space="preserve"> of approval;</w:t>
      </w:r>
      <w:r w:rsidR="00F609EF" w:rsidRPr="00D927C5">
        <w:rPr>
          <w:rFonts w:ascii="Gill Sans MT" w:hAnsi="Gill Sans MT"/>
          <w:bCs/>
          <w:szCs w:val="24"/>
        </w:rPr>
        <w:t xml:space="preserve"> </w:t>
      </w:r>
    </w:p>
    <w:p w14:paraId="0D9A467F" w14:textId="77C4F88E" w:rsidR="000132EE" w:rsidRPr="00D927C5" w:rsidRDefault="000132EE" w:rsidP="008C0D42">
      <w:pPr>
        <w:pStyle w:val="ListParagraph"/>
        <w:numPr>
          <w:ilvl w:val="0"/>
          <w:numId w:val="40"/>
        </w:numPr>
        <w:spacing w:after="0"/>
        <w:ind w:left="714" w:hanging="357"/>
        <w:contextualSpacing w:val="0"/>
        <w:rPr>
          <w:rFonts w:ascii="Gill Sans MT" w:hAnsi="Gill Sans MT"/>
          <w:bCs/>
          <w:szCs w:val="24"/>
        </w:rPr>
      </w:pPr>
      <w:r w:rsidRPr="00D927C5">
        <w:rPr>
          <w:rFonts w:ascii="Gill Sans MT" w:hAnsi="Gill Sans MT"/>
          <w:bCs/>
          <w:szCs w:val="24"/>
        </w:rPr>
        <w:t xml:space="preserve">Considering the land use planning implications of the project, including determining whether </w:t>
      </w:r>
      <w:r w:rsidR="00546F38">
        <w:rPr>
          <w:rFonts w:ascii="Gill Sans MT" w:hAnsi="Gill Sans MT"/>
          <w:bCs/>
          <w:szCs w:val="24"/>
        </w:rPr>
        <w:t>conditions or restrictions should be placed on the permit</w:t>
      </w:r>
      <w:r w:rsidR="00546F38" w:rsidRPr="00D927C5">
        <w:rPr>
          <w:rFonts w:ascii="Gill Sans MT" w:hAnsi="Gill Sans MT"/>
          <w:bCs/>
          <w:szCs w:val="24"/>
        </w:rPr>
        <w:t xml:space="preserve"> </w:t>
      </w:r>
      <w:r w:rsidR="00546F38">
        <w:rPr>
          <w:rFonts w:ascii="Gill Sans MT" w:hAnsi="Gill Sans MT"/>
          <w:bCs/>
          <w:szCs w:val="24"/>
        </w:rPr>
        <w:t xml:space="preserve">or whether </w:t>
      </w:r>
      <w:r w:rsidRPr="00D927C5">
        <w:rPr>
          <w:rFonts w:ascii="Gill Sans MT" w:hAnsi="Gill Sans MT"/>
          <w:bCs/>
          <w:szCs w:val="24"/>
        </w:rPr>
        <w:t>a planning scheme amendment should be approved;</w:t>
      </w:r>
    </w:p>
    <w:p w14:paraId="728F3599" w14:textId="77777777" w:rsidR="00312FC8" w:rsidRPr="00D927C5" w:rsidRDefault="00312FC8" w:rsidP="008C0D42">
      <w:pPr>
        <w:pStyle w:val="ListParagraph"/>
        <w:numPr>
          <w:ilvl w:val="0"/>
          <w:numId w:val="40"/>
        </w:numPr>
        <w:spacing w:after="0"/>
        <w:ind w:left="714" w:hanging="357"/>
        <w:contextualSpacing w:val="0"/>
        <w:rPr>
          <w:rFonts w:ascii="Gill Sans MT" w:hAnsi="Gill Sans MT"/>
          <w:bCs/>
          <w:szCs w:val="24"/>
        </w:rPr>
      </w:pPr>
      <w:r w:rsidRPr="00D927C5">
        <w:rPr>
          <w:rFonts w:ascii="Gill Sans MT" w:hAnsi="Gill Sans MT"/>
          <w:bCs/>
          <w:szCs w:val="24"/>
        </w:rPr>
        <w:t xml:space="preserve">Collating and preparing the </w:t>
      </w:r>
      <w:r w:rsidR="00F609EF" w:rsidRPr="00D927C5">
        <w:rPr>
          <w:rFonts w:ascii="Gill Sans MT" w:hAnsi="Gill Sans MT"/>
          <w:bCs/>
          <w:szCs w:val="24"/>
        </w:rPr>
        <w:t>draft Assessment Report</w:t>
      </w:r>
      <w:r w:rsidRPr="00D927C5">
        <w:rPr>
          <w:rFonts w:ascii="Gill Sans MT" w:hAnsi="Gill Sans MT"/>
          <w:bCs/>
          <w:szCs w:val="24"/>
        </w:rPr>
        <w:t>;</w:t>
      </w:r>
    </w:p>
    <w:p w14:paraId="7B082903" w14:textId="5B6DF0B2" w:rsidR="000132EE" w:rsidRPr="00D927C5" w:rsidRDefault="000132EE" w:rsidP="008C0D42">
      <w:pPr>
        <w:pStyle w:val="ListParagraph"/>
        <w:numPr>
          <w:ilvl w:val="0"/>
          <w:numId w:val="40"/>
        </w:numPr>
        <w:spacing w:after="0"/>
        <w:ind w:left="714" w:hanging="357"/>
        <w:contextualSpacing w:val="0"/>
        <w:rPr>
          <w:rFonts w:ascii="Gill Sans MT" w:hAnsi="Gill Sans MT"/>
          <w:bCs/>
          <w:szCs w:val="24"/>
        </w:rPr>
      </w:pPr>
      <w:r w:rsidRPr="00D927C5">
        <w:rPr>
          <w:rFonts w:ascii="Gill Sans MT" w:hAnsi="Gill Sans MT"/>
          <w:bCs/>
          <w:szCs w:val="24"/>
        </w:rPr>
        <w:t>Where relevant, requesting further information from the proponent</w:t>
      </w:r>
      <w:r w:rsidR="00EA4DBA" w:rsidRPr="00D927C5">
        <w:rPr>
          <w:rFonts w:ascii="Gill Sans MT" w:hAnsi="Gill Sans MT"/>
          <w:bCs/>
          <w:szCs w:val="24"/>
        </w:rPr>
        <w:t>, a planning authority</w:t>
      </w:r>
      <w:r w:rsidR="000E54A7" w:rsidRPr="00D927C5">
        <w:rPr>
          <w:rFonts w:ascii="Gill Sans MT" w:hAnsi="Gill Sans MT"/>
          <w:bCs/>
          <w:szCs w:val="24"/>
        </w:rPr>
        <w:t>,</w:t>
      </w:r>
      <w:r w:rsidR="00EA4DBA" w:rsidRPr="00D927C5">
        <w:rPr>
          <w:rFonts w:ascii="Gill Sans MT" w:hAnsi="Gill Sans MT"/>
          <w:bCs/>
          <w:szCs w:val="24"/>
        </w:rPr>
        <w:t xml:space="preserve"> the Commission, a State Service Agency, a State Authority </w:t>
      </w:r>
      <w:r w:rsidR="000E54A7" w:rsidRPr="00D927C5">
        <w:rPr>
          <w:rFonts w:ascii="Gill Sans MT" w:hAnsi="Gill Sans MT"/>
          <w:bCs/>
          <w:szCs w:val="24"/>
        </w:rPr>
        <w:t>or</w:t>
      </w:r>
      <w:r w:rsidR="00EA4DBA" w:rsidRPr="00D927C5">
        <w:rPr>
          <w:rFonts w:ascii="Gill Sans MT" w:hAnsi="Gill Sans MT"/>
          <w:bCs/>
          <w:szCs w:val="24"/>
        </w:rPr>
        <w:t xml:space="preserve"> other relevant parties.</w:t>
      </w:r>
    </w:p>
    <w:p w14:paraId="031A50CE" w14:textId="77777777" w:rsidR="00312FC8" w:rsidRPr="00D927C5" w:rsidRDefault="00312FC8" w:rsidP="008C0D42">
      <w:pPr>
        <w:pStyle w:val="ListParagraph"/>
        <w:numPr>
          <w:ilvl w:val="0"/>
          <w:numId w:val="40"/>
        </w:numPr>
        <w:spacing w:after="0"/>
        <w:contextualSpacing w:val="0"/>
        <w:rPr>
          <w:rFonts w:ascii="Gill Sans MT" w:hAnsi="Gill Sans MT"/>
          <w:bCs/>
          <w:szCs w:val="24"/>
        </w:rPr>
      </w:pPr>
      <w:r w:rsidRPr="00D927C5">
        <w:rPr>
          <w:rFonts w:ascii="Gill Sans MT" w:hAnsi="Gill Sans MT"/>
          <w:bCs/>
          <w:szCs w:val="24"/>
        </w:rPr>
        <w:t>Coordinating public exhibition and hearings, including inviting representations</w:t>
      </w:r>
      <w:r w:rsidR="00D343F0" w:rsidRPr="00D927C5">
        <w:rPr>
          <w:rFonts w:ascii="Gill Sans MT" w:hAnsi="Gill Sans MT"/>
          <w:bCs/>
          <w:szCs w:val="24"/>
        </w:rPr>
        <w:t xml:space="preserve"> and </w:t>
      </w:r>
      <w:r w:rsidR="008C0D42" w:rsidRPr="00D927C5">
        <w:rPr>
          <w:rFonts w:ascii="Gill Sans MT" w:hAnsi="Gill Sans MT"/>
          <w:bCs/>
          <w:szCs w:val="24"/>
        </w:rPr>
        <w:t xml:space="preserve">advertising and </w:t>
      </w:r>
      <w:r w:rsidR="00D343F0" w:rsidRPr="00D927C5">
        <w:rPr>
          <w:rFonts w:ascii="Gill Sans MT" w:hAnsi="Gill Sans MT"/>
          <w:bCs/>
          <w:szCs w:val="24"/>
        </w:rPr>
        <w:t>notifying hearings</w:t>
      </w:r>
      <w:r w:rsidRPr="00D927C5">
        <w:rPr>
          <w:rFonts w:ascii="Gill Sans MT" w:hAnsi="Gill Sans MT"/>
          <w:bCs/>
          <w:szCs w:val="24"/>
        </w:rPr>
        <w:t>;</w:t>
      </w:r>
    </w:p>
    <w:p w14:paraId="239A93ED" w14:textId="6D1BA6E5" w:rsidR="00312FC8" w:rsidRPr="00D927C5" w:rsidRDefault="00CC76EB" w:rsidP="008C0D42">
      <w:pPr>
        <w:pStyle w:val="ListParagraph"/>
        <w:numPr>
          <w:ilvl w:val="0"/>
          <w:numId w:val="40"/>
        </w:numPr>
        <w:spacing w:after="0"/>
        <w:contextualSpacing w:val="0"/>
        <w:rPr>
          <w:rFonts w:ascii="Gill Sans MT" w:hAnsi="Gill Sans MT"/>
          <w:bCs/>
          <w:szCs w:val="24"/>
        </w:rPr>
      </w:pPr>
      <w:r w:rsidRPr="00D927C5">
        <w:rPr>
          <w:rFonts w:ascii="Gill Sans MT" w:hAnsi="Gill Sans MT"/>
          <w:bCs/>
          <w:szCs w:val="24"/>
        </w:rPr>
        <w:t>D</w:t>
      </w:r>
      <w:r w:rsidR="00312FC8" w:rsidRPr="00D927C5">
        <w:rPr>
          <w:rFonts w:ascii="Gill Sans MT" w:hAnsi="Gill Sans MT"/>
          <w:bCs/>
          <w:szCs w:val="24"/>
        </w:rPr>
        <w:t xml:space="preserve">istributing </w:t>
      </w:r>
      <w:r w:rsidRPr="00D927C5">
        <w:rPr>
          <w:rFonts w:ascii="Gill Sans MT" w:hAnsi="Gill Sans MT"/>
          <w:bCs/>
          <w:szCs w:val="24"/>
        </w:rPr>
        <w:t xml:space="preserve">representations </w:t>
      </w:r>
      <w:r w:rsidR="00312FC8" w:rsidRPr="00D927C5">
        <w:rPr>
          <w:rFonts w:ascii="Gill Sans MT" w:hAnsi="Gill Sans MT"/>
          <w:bCs/>
          <w:szCs w:val="24"/>
        </w:rPr>
        <w:t xml:space="preserve">to </w:t>
      </w:r>
      <w:r w:rsidR="005264C2">
        <w:rPr>
          <w:rFonts w:ascii="Gill Sans MT" w:hAnsi="Gill Sans MT"/>
          <w:bCs/>
          <w:szCs w:val="24"/>
        </w:rPr>
        <w:t>participating</w:t>
      </w:r>
      <w:r w:rsidR="00312FC8" w:rsidRPr="00D927C5">
        <w:rPr>
          <w:rFonts w:ascii="Gill Sans MT" w:hAnsi="Gill Sans MT"/>
          <w:bCs/>
          <w:szCs w:val="24"/>
        </w:rPr>
        <w:t xml:space="preserve"> regulators</w:t>
      </w:r>
      <w:r w:rsidRPr="00D927C5">
        <w:rPr>
          <w:rFonts w:ascii="Gill Sans MT" w:hAnsi="Gill Sans MT"/>
          <w:bCs/>
          <w:szCs w:val="24"/>
        </w:rPr>
        <w:t xml:space="preserve"> and reviewing the draft Assessment Report</w:t>
      </w:r>
      <w:r w:rsidR="00312FC8" w:rsidRPr="00D927C5">
        <w:rPr>
          <w:rFonts w:ascii="Gill Sans MT" w:hAnsi="Gill Sans MT"/>
          <w:bCs/>
          <w:szCs w:val="24"/>
        </w:rPr>
        <w:t>;</w:t>
      </w:r>
    </w:p>
    <w:p w14:paraId="7C29C190" w14:textId="22E85A67" w:rsidR="00312FC8" w:rsidRPr="00D927C5" w:rsidRDefault="00312FC8" w:rsidP="008C0D42">
      <w:pPr>
        <w:pStyle w:val="ListParagraph"/>
        <w:numPr>
          <w:ilvl w:val="0"/>
          <w:numId w:val="40"/>
        </w:numPr>
        <w:spacing w:after="0"/>
        <w:contextualSpacing w:val="0"/>
        <w:rPr>
          <w:rFonts w:ascii="Gill Sans MT" w:hAnsi="Gill Sans MT"/>
          <w:bCs/>
          <w:szCs w:val="24"/>
        </w:rPr>
      </w:pPr>
      <w:r w:rsidRPr="00D927C5">
        <w:rPr>
          <w:rFonts w:ascii="Gill Sans MT" w:hAnsi="Gill Sans MT"/>
          <w:bCs/>
          <w:szCs w:val="24"/>
        </w:rPr>
        <w:t xml:space="preserve">In consultation with </w:t>
      </w:r>
      <w:r w:rsidR="009F215F">
        <w:rPr>
          <w:rFonts w:ascii="Gill Sans MT" w:hAnsi="Gill Sans MT"/>
          <w:bCs/>
          <w:szCs w:val="24"/>
        </w:rPr>
        <w:t>participating</w:t>
      </w:r>
      <w:r w:rsidRPr="00D927C5">
        <w:rPr>
          <w:rFonts w:ascii="Gill Sans MT" w:hAnsi="Gill Sans MT"/>
          <w:bCs/>
          <w:szCs w:val="24"/>
        </w:rPr>
        <w:t xml:space="preserve"> regulators, resolving any inconsistency between conditions </w:t>
      </w:r>
      <w:r w:rsidR="005264C2">
        <w:rPr>
          <w:rFonts w:ascii="Gill Sans MT" w:hAnsi="Gill Sans MT"/>
          <w:bCs/>
          <w:szCs w:val="24"/>
        </w:rPr>
        <w:t xml:space="preserve">or restrictions </w:t>
      </w:r>
      <w:r w:rsidRPr="00D927C5">
        <w:rPr>
          <w:rFonts w:ascii="Gill Sans MT" w:hAnsi="Gill Sans MT"/>
          <w:bCs/>
          <w:szCs w:val="24"/>
        </w:rPr>
        <w:t>required by regulators in a manner that best achieves the purpose of those conditions</w:t>
      </w:r>
      <w:r w:rsidR="005264C2">
        <w:rPr>
          <w:rFonts w:ascii="Gill Sans MT" w:hAnsi="Gill Sans MT"/>
          <w:bCs/>
          <w:szCs w:val="24"/>
        </w:rPr>
        <w:t xml:space="preserve"> or restrictions</w:t>
      </w:r>
      <w:r w:rsidRPr="00D927C5">
        <w:rPr>
          <w:rFonts w:ascii="Gill Sans MT" w:hAnsi="Gill Sans MT"/>
          <w:bCs/>
          <w:szCs w:val="24"/>
        </w:rPr>
        <w:t xml:space="preserve">; </w:t>
      </w:r>
    </w:p>
    <w:p w14:paraId="68F3B9AE" w14:textId="14913937" w:rsidR="00F609EF" w:rsidRPr="00D927C5" w:rsidRDefault="00C405C6" w:rsidP="008C0D42">
      <w:pPr>
        <w:pStyle w:val="ListParagraph"/>
        <w:numPr>
          <w:ilvl w:val="0"/>
          <w:numId w:val="40"/>
        </w:numPr>
        <w:spacing w:after="0"/>
        <w:contextualSpacing w:val="0"/>
        <w:rPr>
          <w:rFonts w:ascii="Gill Sans MT" w:hAnsi="Gill Sans MT"/>
          <w:bCs/>
          <w:szCs w:val="24"/>
        </w:rPr>
      </w:pPr>
      <w:r w:rsidRPr="00D927C5">
        <w:rPr>
          <w:rFonts w:ascii="Gill Sans MT" w:hAnsi="Gill Sans MT"/>
          <w:bCs/>
          <w:szCs w:val="24"/>
        </w:rPr>
        <w:t>Preparing</w:t>
      </w:r>
      <w:r w:rsidR="00C61C70" w:rsidRPr="00D927C5">
        <w:rPr>
          <w:rFonts w:ascii="Gill Sans MT" w:hAnsi="Gill Sans MT"/>
          <w:bCs/>
          <w:szCs w:val="24"/>
        </w:rPr>
        <w:t xml:space="preserve"> the final Assessment Report</w:t>
      </w:r>
      <w:r w:rsidRPr="00D927C5">
        <w:rPr>
          <w:rFonts w:ascii="Gill Sans MT" w:hAnsi="Gill Sans MT"/>
          <w:bCs/>
          <w:szCs w:val="24"/>
        </w:rPr>
        <w:t xml:space="preserve"> and publishing </w:t>
      </w:r>
      <w:r w:rsidR="00141B06" w:rsidRPr="00D927C5">
        <w:rPr>
          <w:rFonts w:ascii="Gill Sans MT" w:hAnsi="Gill Sans MT"/>
          <w:bCs/>
          <w:szCs w:val="24"/>
        </w:rPr>
        <w:t xml:space="preserve">the reasons for the Panel’s </w:t>
      </w:r>
      <w:r w:rsidR="00312FC8" w:rsidRPr="00D927C5">
        <w:rPr>
          <w:rFonts w:ascii="Gill Sans MT" w:hAnsi="Gill Sans MT"/>
          <w:bCs/>
          <w:szCs w:val="24"/>
        </w:rPr>
        <w:t xml:space="preserve">final </w:t>
      </w:r>
      <w:r w:rsidR="000E54A7" w:rsidRPr="00D927C5">
        <w:rPr>
          <w:rFonts w:ascii="Gill Sans MT" w:hAnsi="Gill Sans MT"/>
          <w:bCs/>
          <w:szCs w:val="24"/>
        </w:rPr>
        <w:t xml:space="preserve">decision </w:t>
      </w:r>
      <w:r w:rsidR="00747C19">
        <w:rPr>
          <w:rFonts w:ascii="Gill Sans MT" w:hAnsi="Gill Sans MT"/>
          <w:bCs/>
          <w:szCs w:val="24"/>
        </w:rPr>
        <w:t xml:space="preserve">on </w:t>
      </w:r>
      <w:r w:rsidR="000E54A7" w:rsidRPr="00D927C5">
        <w:rPr>
          <w:rFonts w:ascii="Gill Sans MT" w:hAnsi="Gill Sans MT"/>
          <w:bCs/>
          <w:szCs w:val="24"/>
        </w:rPr>
        <w:t>whether to grant a Major Project P</w:t>
      </w:r>
      <w:r w:rsidR="00141B06" w:rsidRPr="00D927C5">
        <w:rPr>
          <w:rFonts w:ascii="Gill Sans MT" w:hAnsi="Gill Sans MT"/>
          <w:bCs/>
          <w:szCs w:val="24"/>
        </w:rPr>
        <w:t>ermit</w:t>
      </w:r>
      <w:r w:rsidR="00F609EF" w:rsidRPr="00D927C5">
        <w:rPr>
          <w:rFonts w:ascii="Gill Sans MT" w:hAnsi="Gill Sans MT"/>
          <w:bCs/>
          <w:szCs w:val="24"/>
        </w:rPr>
        <w:t>;</w:t>
      </w:r>
      <w:r w:rsidR="00D343F0" w:rsidRPr="00D927C5">
        <w:rPr>
          <w:rFonts w:ascii="Gill Sans MT" w:hAnsi="Gill Sans MT"/>
          <w:bCs/>
          <w:szCs w:val="24"/>
        </w:rPr>
        <w:t xml:space="preserve"> </w:t>
      </w:r>
    </w:p>
    <w:p w14:paraId="002159D3" w14:textId="55F9E30D" w:rsidR="009B0386" w:rsidRPr="00D927C5" w:rsidRDefault="009B0386" w:rsidP="008C0D42">
      <w:pPr>
        <w:pStyle w:val="ListParagraph"/>
        <w:numPr>
          <w:ilvl w:val="0"/>
          <w:numId w:val="40"/>
        </w:numPr>
        <w:spacing w:after="0"/>
        <w:contextualSpacing w:val="0"/>
        <w:rPr>
          <w:rFonts w:ascii="Gill Sans MT" w:hAnsi="Gill Sans MT"/>
          <w:bCs/>
          <w:szCs w:val="24"/>
        </w:rPr>
      </w:pPr>
      <w:r w:rsidRPr="00D927C5">
        <w:rPr>
          <w:rFonts w:ascii="Gill Sans MT" w:hAnsi="Gill Sans MT"/>
          <w:bCs/>
          <w:szCs w:val="24"/>
        </w:rPr>
        <w:t xml:space="preserve">Granting the Major Project Permit; </w:t>
      </w:r>
    </w:p>
    <w:p w14:paraId="69273887" w14:textId="4D21A5DF" w:rsidR="00D343F0" w:rsidRDefault="000132EE" w:rsidP="008C0D42">
      <w:pPr>
        <w:pStyle w:val="ListParagraph"/>
        <w:numPr>
          <w:ilvl w:val="0"/>
          <w:numId w:val="40"/>
        </w:numPr>
        <w:spacing w:after="0"/>
        <w:contextualSpacing w:val="0"/>
        <w:rPr>
          <w:rFonts w:ascii="Gill Sans MT" w:hAnsi="Gill Sans MT"/>
          <w:bCs/>
          <w:szCs w:val="24"/>
        </w:rPr>
      </w:pPr>
      <w:r w:rsidRPr="00D927C5">
        <w:rPr>
          <w:rFonts w:ascii="Gill Sans MT" w:hAnsi="Gill Sans MT"/>
          <w:bCs/>
          <w:szCs w:val="24"/>
        </w:rPr>
        <w:t xml:space="preserve">Coordinating the in-principle </w:t>
      </w:r>
      <w:r>
        <w:rPr>
          <w:rFonts w:ascii="Gill Sans MT" w:hAnsi="Gill Sans MT"/>
          <w:bCs/>
          <w:szCs w:val="24"/>
        </w:rPr>
        <w:t xml:space="preserve">permit commencement condition (IPPCC) process, including </w:t>
      </w:r>
      <w:r w:rsidR="008C5003">
        <w:rPr>
          <w:rFonts w:ascii="Gill Sans MT" w:hAnsi="Gill Sans MT"/>
          <w:bCs/>
          <w:szCs w:val="24"/>
        </w:rPr>
        <w:t>i</w:t>
      </w:r>
      <w:r w:rsidR="00D343F0">
        <w:rPr>
          <w:rFonts w:ascii="Gill Sans MT" w:hAnsi="Gill Sans MT"/>
          <w:bCs/>
          <w:szCs w:val="24"/>
        </w:rPr>
        <w:t xml:space="preserve">ssuing a permit commencement notice once all the </w:t>
      </w:r>
      <w:r>
        <w:rPr>
          <w:rFonts w:ascii="Gill Sans MT" w:hAnsi="Gill Sans MT"/>
          <w:bCs/>
          <w:szCs w:val="24"/>
        </w:rPr>
        <w:t>IPPCCs</w:t>
      </w:r>
      <w:r w:rsidR="00F85A7B">
        <w:rPr>
          <w:rFonts w:ascii="Gill Sans MT" w:hAnsi="Gill Sans MT"/>
          <w:bCs/>
          <w:szCs w:val="24"/>
        </w:rPr>
        <w:t xml:space="preserve"> have been met; and</w:t>
      </w:r>
    </w:p>
    <w:p w14:paraId="20B07799" w14:textId="4B52B94E" w:rsidR="00052BCE" w:rsidRPr="00F85A7B" w:rsidRDefault="00F85A7B" w:rsidP="00F85A7B">
      <w:pPr>
        <w:pStyle w:val="ListParagraph"/>
        <w:numPr>
          <w:ilvl w:val="0"/>
          <w:numId w:val="40"/>
        </w:numPr>
        <w:contextualSpacing w:val="0"/>
        <w:rPr>
          <w:rFonts w:ascii="Gill Sans MT" w:hAnsi="Gill Sans MT"/>
          <w:bCs/>
          <w:szCs w:val="24"/>
        </w:rPr>
      </w:pPr>
      <w:r w:rsidRPr="00131027">
        <w:rPr>
          <w:rFonts w:ascii="Gill Sans MT" w:hAnsi="Gill Sans MT"/>
          <w:bCs/>
          <w:szCs w:val="24"/>
        </w:rPr>
        <w:t xml:space="preserve">Where a Major Project Permit has </w:t>
      </w:r>
      <w:r>
        <w:rPr>
          <w:rFonts w:ascii="Gill Sans MT" w:hAnsi="Gill Sans MT"/>
          <w:bCs/>
          <w:szCs w:val="24"/>
        </w:rPr>
        <w:t xml:space="preserve">been granted but has not </w:t>
      </w:r>
      <w:r w:rsidR="00AC2355">
        <w:rPr>
          <w:rFonts w:ascii="Gill Sans MT" w:hAnsi="Gill Sans MT"/>
          <w:bCs/>
          <w:szCs w:val="24"/>
        </w:rPr>
        <w:t xml:space="preserve">taken effect, </w:t>
      </w:r>
      <w:r>
        <w:rPr>
          <w:rFonts w:ascii="Gill Sans MT" w:hAnsi="Gill Sans MT"/>
          <w:bCs/>
          <w:szCs w:val="24"/>
        </w:rPr>
        <w:t xml:space="preserve">correcting </w:t>
      </w:r>
      <w:r>
        <w:rPr>
          <w:rFonts w:ascii="Gill Sans MT" w:hAnsi="Gill Sans MT"/>
          <w:bCs/>
        </w:rPr>
        <w:t>obvious clerical mistakes or miscalculations on the permit,</w:t>
      </w:r>
      <w:r>
        <w:rPr>
          <w:rFonts w:ascii="Gill Sans MT" w:hAnsi="Gill Sans MT"/>
          <w:bCs/>
          <w:szCs w:val="24"/>
        </w:rPr>
        <w:t xml:space="preserve"> </w:t>
      </w:r>
      <w:r w:rsidRPr="00131027">
        <w:rPr>
          <w:rFonts w:ascii="Gill Sans MT" w:hAnsi="Gill Sans MT"/>
          <w:bCs/>
          <w:szCs w:val="24"/>
        </w:rPr>
        <w:t xml:space="preserve">assessing applications for permit amendments or </w:t>
      </w:r>
      <w:r>
        <w:rPr>
          <w:rFonts w:ascii="Gill Sans MT" w:hAnsi="Gill Sans MT"/>
          <w:bCs/>
          <w:szCs w:val="24"/>
        </w:rPr>
        <w:t>cancelling</w:t>
      </w:r>
      <w:r w:rsidRPr="00131027">
        <w:rPr>
          <w:rFonts w:ascii="Gill Sans MT" w:hAnsi="Gill Sans MT"/>
          <w:bCs/>
          <w:szCs w:val="24"/>
        </w:rPr>
        <w:t xml:space="preserve"> </w:t>
      </w:r>
      <w:r w:rsidR="00B11CDF">
        <w:rPr>
          <w:rFonts w:ascii="Gill Sans MT" w:hAnsi="Gill Sans MT"/>
          <w:bCs/>
          <w:szCs w:val="24"/>
        </w:rPr>
        <w:t>a</w:t>
      </w:r>
      <w:r w:rsidRPr="00131027">
        <w:rPr>
          <w:rFonts w:ascii="Gill Sans MT" w:hAnsi="Gill Sans MT"/>
          <w:bCs/>
          <w:szCs w:val="24"/>
        </w:rPr>
        <w:t xml:space="preserve"> permit in accordance w</w:t>
      </w:r>
      <w:r>
        <w:rPr>
          <w:rFonts w:ascii="Gill Sans MT" w:hAnsi="Gill Sans MT"/>
          <w:bCs/>
          <w:szCs w:val="24"/>
        </w:rPr>
        <w:t>ith the statutory requirements</w:t>
      </w:r>
      <w:r w:rsidR="00D343F0" w:rsidRPr="00F85A7B">
        <w:rPr>
          <w:rFonts w:ascii="Gill Sans MT" w:hAnsi="Gill Sans MT"/>
          <w:bCs/>
          <w:szCs w:val="24"/>
        </w:rPr>
        <w:t xml:space="preserve"> (see Fact Sheet 6). </w:t>
      </w:r>
    </w:p>
    <w:p w14:paraId="17BFE2B9" w14:textId="347A07B2" w:rsidR="009E7C9E" w:rsidRPr="00501871" w:rsidRDefault="00655521" w:rsidP="00501871">
      <w:pPr>
        <w:pStyle w:val="Heading2"/>
      </w:pPr>
      <w:r>
        <w:t>Role of Regulators</w:t>
      </w:r>
      <w:r w:rsidR="009E7C9E" w:rsidRPr="0009765B">
        <w:rPr>
          <w:bCs w:val="0"/>
          <w:color w:val="FF0000"/>
          <w:szCs w:val="24"/>
        </w:rPr>
        <w:t xml:space="preserve"> </w:t>
      </w:r>
    </w:p>
    <w:p w14:paraId="591A4ECF" w14:textId="74301E7A" w:rsidR="00053741" w:rsidRDefault="00053741" w:rsidP="00D65677">
      <w:pPr>
        <w:spacing w:after="120"/>
        <w:rPr>
          <w:rFonts w:ascii="Gill Sans MT" w:hAnsi="Gill Sans MT"/>
          <w:bCs/>
          <w:szCs w:val="24"/>
        </w:rPr>
      </w:pPr>
      <w:r>
        <w:rPr>
          <w:rFonts w:ascii="Gill Sans MT" w:hAnsi="Gill Sans MT"/>
          <w:bCs/>
          <w:szCs w:val="24"/>
        </w:rPr>
        <w:t xml:space="preserve">The role of regulators is to determine whether an assessment of </w:t>
      </w:r>
      <w:r w:rsidR="00FB533F">
        <w:rPr>
          <w:rFonts w:ascii="Gill Sans MT" w:hAnsi="Gill Sans MT"/>
          <w:bCs/>
          <w:szCs w:val="24"/>
        </w:rPr>
        <w:t>a</w:t>
      </w:r>
      <w:r>
        <w:rPr>
          <w:rFonts w:ascii="Gill Sans MT" w:hAnsi="Gill Sans MT"/>
          <w:bCs/>
          <w:szCs w:val="24"/>
        </w:rPr>
        <w:t xml:space="preserve"> major project is required under their relevant project-associated Act, and where relevant, assessing the project against the requirements of that Ac</w:t>
      </w:r>
      <w:r w:rsidR="00FA7B10">
        <w:rPr>
          <w:rFonts w:ascii="Gill Sans MT" w:hAnsi="Gill Sans MT"/>
          <w:bCs/>
          <w:szCs w:val="24"/>
        </w:rPr>
        <w:t xml:space="preserve">t and directing the </w:t>
      </w:r>
      <w:r>
        <w:rPr>
          <w:rFonts w:ascii="Gill Sans MT" w:hAnsi="Gill Sans MT"/>
          <w:bCs/>
          <w:szCs w:val="24"/>
        </w:rPr>
        <w:t>Panel accordingly.</w:t>
      </w:r>
    </w:p>
    <w:p w14:paraId="697184DD" w14:textId="63EDBE5F" w:rsidR="00501871" w:rsidRPr="00FA7B10" w:rsidRDefault="00501871" w:rsidP="00D65677">
      <w:pPr>
        <w:spacing w:after="120"/>
        <w:rPr>
          <w:rFonts w:ascii="Gill Sans MT" w:hAnsi="Gill Sans MT"/>
          <w:bCs/>
          <w:szCs w:val="24"/>
        </w:rPr>
      </w:pPr>
      <w:r w:rsidRPr="00FA7B10">
        <w:rPr>
          <w:rFonts w:ascii="Gill Sans MT" w:hAnsi="Gill Sans MT"/>
          <w:bCs/>
          <w:szCs w:val="24"/>
        </w:rPr>
        <w:t>For the purposes of assessing a major project, regulators can be ‘relevant regulators’ or participating regulators’.</w:t>
      </w:r>
    </w:p>
    <w:p w14:paraId="25429A6A" w14:textId="16438924" w:rsidR="009E7C9E" w:rsidRPr="00FA7B10" w:rsidRDefault="009E7C9E" w:rsidP="009E7C9E">
      <w:pPr>
        <w:spacing w:after="0"/>
        <w:rPr>
          <w:rFonts w:ascii="Gill Sans MT" w:hAnsi="Gill Sans MT"/>
          <w:bCs/>
          <w:szCs w:val="24"/>
        </w:rPr>
      </w:pPr>
      <w:r w:rsidRPr="00FA7B10">
        <w:rPr>
          <w:rFonts w:ascii="Gill Sans MT" w:hAnsi="Gill Sans MT"/>
          <w:bCs/>
          <w:szCs w:val="24"/>
        </w:rPr>
        <w:t>Relevant regulators include the:</w:t>
      </w:r>
    </w:p>
    <w:p w14:paraId="46A08D6D" w14:textId="33BF029C" w:rsidR="009E7C9E" w:rsidRPr="00FA7B10" w:rsidRDefault="009E7C9E" w:rsidP="0009765B">
      <w:pPr>
        <w:pStyle w:val="ListParagraph"/>
        <w:numPr>
          <w:ilvl w:val="0"/>
          <w:numId w:val="38"/>
        </w:numPr>
        <w:spacing w:after="0"/>
        <w:ind w:left="714" w:hanging="357"/>
        <w:contextualSpacing w:val="0"/>
        <w:rPr>
          <w:rFonts w:ascii="Gill Sans MT" w:hAnsi="Gill Sans MT"/>
          <w:bCs/>
          <w:szCs w:val="24"/>
        </w:rPr>
      </w:pPr>
      <w:r w:rsidRPr="00FA7B10">
        <w:rPr>
          <w:rFonts w:ascii="Gill Sans MT" w:hAnsi="Gill Sans MT"/>
          <w:bCs/>
          <w:szCs w:val="24"/>
        </w:rPr>
        <w:t>EPA Board;</w:t>
      </w:r>
    </w:p>
    <w:p w14:paraId="41D3D7D1" w14:textId="4AEDD5AD" w:rsidR="009E7C9E" w:rsidRPr="00FA7B10" w:rsidRDefault="009E7C9E" w:rsidP="0009765B">
      <w:pPr>
        <w:pStyle w:val="ListParagraph"/>
        <w:numPr>
          <w:ilvl w:val="0"/>
          <w:numId w:val="38"/>
        </w:numPr>
        <w:spacing w:after="0"/>
        <w:ind w:left="714" w:hanging="357"/>
        <w:contextualSpacing w:val="0"/>
        <w:rPr>
          <w:rFonts w:ascii="Gill Sans MT" w:hAnsi="Gill Sans MT"/>
          <w:bCs/>
          <w:szCs w:val="24"/>
        </w:rPr>
      </w:pPr>
      <w:r w:rsidRPr="00FA7B10">
        <w:rPr>
          <w:rFonts w:ascii="Gill Sans MT" w:hAnsi="Gill Sans MT"/>
          <w:bCs/>
          <w:szCs w:val="24"/>
        </w:rPr>
        <w:t>Heritage Council;</w:t>
      </w:r>
    </w:p>
    <w:p w14:paraId="60983AC4" w14:textId="33756F31" w:rsidR="0009765B" w:rsidRPr="00FA7B10" w:rsidRDefault="0009765B" w:rsidP="0009765B">
      <w:pPr>
        <w:pStyle w:val="ListParagraph"/>
        <w:numPr>
          <w:ilvl w:val="0"/>
          <w:numId w:val="38"/>
        </w:numPr>
        <w:spacing w:after="0"/>
        <w:ind w:left="714" w:hanging="357"/>
        <w:contextualSpacing w:val="0"/>
        <w:rPr>
          <w:rFonts w:ascii="Gill Sans MT" w:hAnsi="Gill Sans MT"/>
          <w:bCs/>
          <w:szCs w:val="24"/>
        </w:rPr>
      </w:pPr>
      <w:r w:rsidRPr="00FA7B10">
        <w:rPr>
          <w:rFonts w:ascii="Gill Sans MT" w:hAnsi="Gill Sans MT"/>
          <w:bCs/>
          <w:szCs w:val="24"/>
        </w:rPr>
        <w:t>Aboriginal Heritage Tasmania;</w:t>
      </w:r>
    </w:p>
    <w:p w14:paraId="212B35C7" w14:textId="1D449797" w:rsidR="0009765B" w:rsidRPr="00FA7B10" w:rsidRDefault="00E1794B" w:rsidP="0009765B">
      <w:pPr>
        <w:pStyle w:val="ListParagraph"/>
        <w:numPr>
          <w:ilvl w:val="0"/>
          <w:numId w:val="38"/>
        </w:numPr>
        <w:spacing w:after="0"/>
        <w:ind w:left="714" w:hanging="357"/>
        <w:contextualSpacing w:val="0"/>
        <w:rPr>
          <w:rFonts w:ascii="Gill Sans MT" w:hAnsi="Gill Sans MT"/>
          <w:bCs/>
          <w:szCs w:val="24"/>
        </w:rPr>
      </w:pPr>
      <w:r w:rsidRPr="00FA7B10">
        <w:rPr>
          <w:rFonts w:ascii="Gill Sans MT" w:hAnsi="Gill Sans MT"/>
          <w:bCs/>
          <w:szCs w:val="24"/>
        </w:rPr>
        <w:t>Department of P</w:t>
      </w:r>
      <w:r w:rsidR="0009765B" w:rsidRPr="00FA7B10">
        <w:rPr>
          <w:rFonts w:ascii="Gill Sans MT" w:hAnsi="Gill Sans MT"/>
          <w:bCs/>
          <w:szCs w:val="24"/>
        </w:rPr>
        <w:t>rimary Industries, Parks Water and Environment;</w:t>
      </w:r>
    </w:p>
    <w:p w14:paraId="36099D56" w14:textId="622A6B08" w:rsidR="009E7C9E" w:rsidRPr="00FA7B10" w:rsidRDefault="00B62B03" w:rsidP="0009765B">
      <w:pPr>
        <w:pStyle w:val="ListParagraph"/>
        <w:numPr>
          <w:ilvl w:val="0"/>
          <w:numId w:val="38"/>
        </w:numPr>
        <w:spacing w:after="0"/>
        <w:ind w:left="714" w:hanging="357"/>
        <w:contextualSpacing w:val="0"/>
        <w:rPr>
          <w:rFonts w:ascii="Gill Sans MT" w:hAnsi="Gill Sans MT"/>
          <w:bCs/>
          <w:szCs w:val="24"/>
        </w:rPr>
      </w:pPr>
      <w:r>
        <w:rPr>
          <w:rFonts w:ascii="Gill Sans MT" w:hAnsi="Gill Sans MT"/>
          <w:bCs/>
          <w:szCs w:val="24"/>
        </w:rPr>
        <w:t>R</w:t>
      </w:r>
      <w:r w:rsidR="00BD62C9" w:rsidRPr="00BD62C9">
        <w:rPr>
          <w:rFonts w:ascii="Gill Sans MT" w:hAnsi="Gill Sans MT"/>
          <w:bCs/>
          <w:szCs w:val="24"/>
        </w:rPr>
        <w:t>egulated entity</w:t>
      </w:r>
      <w:r>
        <w:rPr>
          <w:rFonts w:ascii="Gill Sans MT" w:hAnsi="Gill Sans MT"/>
          <w:bCs/>
          <w:szCs w:val="24"/>
        </w:rPr>
        <w:t xml:space="preserve"> (Water Authority)</w:t>
      </w:r>
      <w:r w:rsidR="0009765B" w:rsidRPr="00FA7B10">
        <w:rPr>
          <w:rFonts w:ascii="Gill Sans MT" w:hAnsi="Gill Sans MT"/>
          <w:bCs/>
          <w:szCs w:val="24"/>
        </w:rPr>
        <w:t>; and</w:t>
      </w:r>
    </w:p>
    <w:p w14:paraId="416830F4" w14:textId="50345997" w:rsidR="009E7C9E" w:rsidRPr="00FA7B10" w:rsidRDefault="00BD62C9" w:rsidP="0009765B">
      <w:pPr>
        <w:pStyle w:val="ListParagraph"/>
        <w:numPr>
          <w:ilvl w:val="0"/>
          <w:numId w:val="38"/>
        </w:numPr>
        <w:spacing w:after="0"/>
        <w:ind w:left="714" w:hanging="357"/>
        <w:contextualSpacing w:val="0"/>
        <w:rPr>
          <w:rFonts w:ascii="Gill Sans MT" w:hAnsi="Gill Sans MT"/>
          <w:bCs/>
          <w:szCs w:val="24"/>
        </w:rPr>
      </w:pPr>
      <w:r>
        <w:rPr>
          <w:rFonts w:ascii="Gill Sans MT" w:hAnsi="Gill Sans MT"/>
          <w:bCs/>
          <w:szCs w:val="24"/>
        </w:rPr>
        <w:lastRenderedPageBreak/>
        <w:t>Gas pipeline licensee</w:t>
      </w:r>
      <w:r w:rsidR="0009765B" w:rsidRPr="00FA7B10">
        <w:rPr>
          <w:rFonts w:ascii="Gill Sans MT" w:hAnsi="Gill Sans MT"/>
          <w:bCs/>
          <w:szCs w:val="24"/>
        </w:rPr>
        <w:t>.</w:t>
      </w:r>
    </w:p>
    <w:p w14:paraId="2344B12D" w14:textId="3AEE4073" w:rsidR="009E7C9E" w:rsidRPr="000C6B17" w:rsidRDefault="009E7C9E" w:rsidP="00D65677">
      <w:pPr>
        <w:spacing w:after="120"/>
        <w:rPr>
          <w:rFonts w:ascii="Gill Sans MT" w:hAnsi="Gill Sans MT"/>
          <w:bCs/>
          <w:szCs w:val="24"/>
        </w:rPr>
      </w:pPr>
      <w:r w:rsidRPr="00FA7B10">
        <w:rPr>
          <w:rFonts w:ascii="Gill Sans MT" w:hAnsi="Gill Sans MT"/>
          <w:bCs/>
          <w:szCs w:val="24"/>
        </w:rPr>
        <w:t xml:space="preserve">A participating </w:t>
      </w:r>
      <w:r w:rsidRPr="000C6B17">
        <w:rPr>
          <w:rFonts w:ascii="Gill Sans MT" w:hAnsi="Gill Sans MT"/>
          <w:bCs/>
          <w:szCs w:val="24"/>
        </w:rPr>
        <w:t>regulator is a relevant regulator</w:t>
      </w:r>
      <w:r w:rsidR="00FA7B10" w:rsidRPr="000C6B17">
        <w:rPr>
          <w:rFonts w:ascii="Gill Sans MT" w:hAnsi="Gill Sans MT"/>
          <w:bCs/>
          <w:szCs w:val="24"/>
        </w:rPr>
        <w:t xml:space="preserve"> who has notified the </w:t>
      </w:r>
      <w:r w:rsidRPr="000C6B17">
        <w:rPr>
          <w:rFonts w:ascii="Gill Sans MT" w:hAnsi="Gill Sans MT"/>
          <w:bCs/>
          <w:szCs w:val="24"/>
        </w:rPr>
        <w:t xml:space="preserve">Commission that the </w:t>
      </w:r>
      <w:r w:rsidR="00E1794B" w:rsidRPr="000C6B17">
        <w:rPr>
          <w:rFonts w:ascii="Gill Sans MT" w:hAnsi="Gill Sans MT"/>
          <w:bCs/>
          <w:szCs w:val="24"/>
        </w:rPr>
        <w:t xml:space="preserve">regulator intends to make an </w:t>
      </w:r>
      <w:r w:rsidRPr="000C6B17">
        <w:rPr>
          <w:rFonts w:ascii="Gill Sans MT" w:hAnsi="Gill Sans MT"/>
          <w:bCs/>
          <w:szCs w:val="24"/>
        </w:rPr>
        <w:t xml:space="preserve">assessment of </w:t>
      </w:r>
      <w:r w:rsidR="00AB3DFA">
        <w:rPr>
          <w:rFonts w:ascii="Gill Sans MT" w:hAnsi="Gill Sans MT"/>
          <w:bCs/>
          <w:szCs w:val="24"/>
        </w:rPr>
        <w:t>a</w:t>
      </w:r>
      <w:r w:rsidRPr="000C6B17">
        <w:rPr>
          <w:rFonts w:ascii="Gill Sans MT" w:hAnsi="Gill Sans MT"/>
          <w:bCs/>
          <w:szCs w:val="24"/>
        </w:rPr>
        <w:t xml:space="preserve"> major project under the major projects </w:t>
      </w:r>
      <w:r w:rsidR="00327D23">
        <w:rPr>
          <w:rFonts w:ascii="Gill Sans MT" w:hAnsi="Gill Sans MT"/>
          <w:bCs/>
          <w:szCs w:val="24"/>
        </w:rPr>
        <w:t xml:space="preserve">assessment </w:t>
      </w:r>
      <w:r w:rsidRPr="000C6B17">
        <w:rPr>
          <w:rFonts w:ascii="Gill Sans MT" w:hAnsi="Gill Sans MT"/>
          <w:bCs/>
          <w:szCs w:val="24"/>
        </w:rPr>
        <w:t xml:space="preserve">process and in accordance with a </w:t>
      </w:r>
      <w:r w:rsidR="00E1794B" w:rsidRPr="000C6B17">
        <w:rPr>
          <w:rFonts w:ascii="Gill Sans MT" w:hAnsi="Gill Sans MT"/>
          <w:bCs/>
          <w:szCs w:val="24"/>
        </w:rPr>
        <w:t xml:space="preserve">relevant </w:t>
      </w:r>
      <w:r w:rsidRPr="000C6B17">
        <w:rPr>
          <w:rFonts w:ascii="Gill Sans MT" w:hAnsi="Gill Sans MT"/>
          <w:bCs/>
          <w:szCs w:val="24"/>
        </w:rPr>
        <w:t>project-associated Act.</w:t>
      </w:r>
    </w:p>
    <w:p w14:paraId="00B00AB0" w14:textId="4E4E0A69" w:rsidR="00905F39" w:rsidRDefault="001D1800" w:rsidP="00D65677">
      <w:pPr>
        <w:spacing w:after="120"/>
        <w:rPr>
          <w:rFonts w:ascii="Gill Sans MT" w:hAnsi="Gill Sans MT"/>
          <w:bCs/>
          <w:szCs w:val="24"/>
        </w:rPr>
      </w:pPr>
      <w:r w:rsidRPr="000C6B17">
        <w:rPr>
          <w:rFonts w:ascii="Gill Sans MT" w:hAnsi="Gill Sans MT"/>
          <w:bCs/>
          <w:szCs w:val="24"/>
        </w:rPr>
        <w:t xml:space="preserve">The </w:t>
      </w:r>
      <w:r w:rsidR="00905F39" w:rsidRPr="000C6B17">
        <w:rPr>
          <w:rFonts w:ascii="Gill Sans MT" w:hAnsi="Gill Sans MT"/>
          <w:bCs/>
          <w:szCs w:val="24"/>
        </w:rPr>
        <w:t xml:space="preserve">role of </w:t>
      </w:r>
      <w:r w:rsidR="00FC7C47">
        <w:rPr>
          <w:rFonts w:ascii="Gill Sans MT" w:hAnsi="Gill Sans MT"/>
          <w:bCs/>
          <w:szCs w:val="24"/>
        </w:rPr>
        <w:t xml:space="preserve">participating </w:t>
      </w:r>
      <w:r w:rsidR="00905F39" w:rsidRPr="000C6B17">
        <w:rPr>
          <w:rFonts w:ascii="Gill Sans MT" w:hAnsi="Gill Sans MT"/>
          <w:bCs/>
          <w:szCs w:val="24"/>
        </w:rPr>
        <w:t xml:space="preserve">regulators </w:t>
      </w:r>
      <w:r w:rsidR="0013372C" w:rsidRPr="000C6B17">
        <w:rPr>
          <w:rFonts w:ascii="Gill Sans MT" w:hAnsi="Gill Sans MT"/>
          <w:bCs/>
          <w:szCs w:val="24"/>
        </w:rPr>
        <w:t>includes</w:t>
      </w:r>
      <w:r w:rsidR="0013372C">
        <w:rPr>
          <w:rFonts w:ascii="Gill Sans MT" w:hAnsi="Gill Sans MT"/>
          <w:bCs/>
          <w:szCs w:val="24"/>
        </w:rPr>
        <w:t>:</w:t>
      </w:r>
    </w:p>
    <w:p w14:paraId="7C96B902" w14:textId="62D010C0" w:rsidR="008B1E2F" w:rsidRPr="006F37E3" w:rsidRDefault="008B1E2F" w:rsidP="000F047B">
      <w:pPr>
        <w:pStyle w:val="ListParagraph"/>
        <w:numPr>
          <w:ilvl w:val="0"/>
          <w:numId w:val="38"/>
        </w:numPr>
        <w:spacing w:after="0"/>
        <w:ind w:left="714" w:hanging="357"/>
        <w:contextualSpacing w:val="0"/>
        <w:rPr>
          <w:rFonts w:ascii="Gill Sans MT" w:hAnsi="Gill Sans MT"/>
          <w:bCs/>
          <w:szCs w:val="24"/>
        </w:rPr>
      </w:pPr>
      <w:r w:rsidRPr="006F37E3">
        <w:rPr>
          <w:rFonts w:ascii="Gill Sans MT" w:hAnsi="Gill Sans MT"/>
          <w:bCs/>
          <w:szCs w:val="24"/>
        </w:rPr>
        <w:t>Review</w:t>
      </w:r>
      <w:r w:rsidR="006F37E3">
        <w:rPr>
          <w:rFonts w:ascii="Gill Sans MT" w:hAnsi="Gill Sans MT"/>
          <w:bCs/>
          <w:szCs w:val="24"/>
        </w:rPr>
        <w:t>ing</w:t>
      </w:r>
      <w:r w:rsidRPr="006F37E3">
        <w:rPr>
          <w:rFonts w:ascii="Gill Sans MT" w:hAnsi="Gill Sans MT"/>
          <w:bCs/>
          <w:szCs w:val="24"/>
        </w:rPr>
        <w:t xml:space="preserve"> the M</w:t>
      </w:r>
      <w:r w:rsidR="00B81F4E">
        <w:rPr>
          <w:rFonts w:ascii="Gill Sans MT" w:hAnsi="Gill Sans MT"/>
          <w:bCs/>
          <w:szCs w:val="24"/>
        </w:rPr>
        <w:t>ajor Project Proposal and advising</w:t>
      </w:r>
      <w:r w:rsidRPr="006F37E3">
        <w:rPr>
          <w:rFonts w:ascii="Gill Sans MT" w:hAnsi="Gill Sans MT"/>
          <w:bCs/>
          <w:szCs w:val="24"/>
        </w:rPr>
        <w:t xml:space="preserve"> the Panel of the regulator’s requirements for inclusion in the Assessment Guidelines;</w:t>
      </w:r>
    </w:p>
    <w:p w14:paraId="3D446EF9" w14:textId="39938B22" w:rsidR="008B1E2F" w:rsidRPr="006F37E3" w:rsidRDefault="008B1E2F" w:rsidP="000F047B">
      <w:pPr>
        <w:pStyle w:val="ListParagraph"/>
        <w:numPr>
          <w:ilvl w:val="0"/>
          <w:numId w:val="38"/>
        </w:numPr>
        <w:spacing w:after="0"/>
        <w:ind w:left="714" w:hanging="357"/>
        <w:contextualSpacing w:val="0"/>
        <w:rPr>
          <w:rFonts w:ascii="Gill Sans MT" w:hAnsi="Gill Sans MT"/>
          <w:bCs/>
          <w:szCs w:val="24"/>
        </w:rPr>
      </w:pPr>
      <w:r w:rsidRPr="006F37E3">
        <w:rPr>
          <w:rFonts w:ascii="Gill Sans MT" w:hAnsi="Gill Sans MT"/>
          <w:bCs/>
          <w:szCs w:val="24"/>
        </w:rPr>
        <w:t xml:space="preserve">Where the regulator considers that there is </w:t>
      </w:r>
      <w:r w:rsidR="00795D21">
        <w:rPr>
          <w:rFonts w:ascii="Gill Sans MT" w:hAnsi="Gill Sans MT"/>
          <w:bCs/>
          <w:szCs w:val="24"/>
        </w:rPr>
        <w:t>‘</w:t>
      </w:r>
      <w:r w:rsidRPr="006F37E3">
        <w:rPr>
          <w:rFonts w:ascii="Gill Sans MT" w:hAnsi="Gill Sans MT"/>
          <w:bCs/>
          <w:szCs w:val="24"/>
        </w:rPr>
        <w:t>no reasonable prospect</w:t>
      </w:r>
      <w:r w:rsidR="00795D21">
        <w:rPr>
          <w:rFonts w:ascii="Gill Sans MT" w:hAnsi="Gill Sans MT"/>
          <w:bCs/>
          <w:szCs w:val="24"/>
        </w:rPr>
        <w:t>’</w:t>
      </w:r>
      <w:r w:rsidRPr="006F37E3">
        <w:rPr>
          <w:rFonts w:ascii="Gill Sans MT" w:hAnsi="Gill Sans MT"/>
          <w:bCs/>
          <w:szCs w:val="24"/>
        </w:rPr>
        <w:t xml:space="preserve"> that the project could be approved under the relevant project-associated Ac</w:t>
      </w:r>
      <w:r w:rsidR="006F37E3">
        <w:rPr>
          <w:rFonts w:ascii="Gill Sans MT" w:hAnsi="Gill Sans MT"/>
          <w:bCs/>
          <w:szCs w:val="24"/>
        </w:rPr>
        <w:t>t, advising</w:t>
      </w:r>
      <w:r w:rsidRPr="006F37E3">
        <w:rPr>
          <w:rFonts w:ascii="Gill Sans MT" w:hAnsi="Gill Sans MT"/>
          <w:bCs/>
          <w:szCs w:val="24"/>
        </w:rPr>
        <w:t xml:space="preserve"> the Panel accordingly;</w:t>
      </w:r>
    </w:p>
    <w:p w14:paraId="05622565" w14:textId="3E0955DE" w:rsidR="006D79A9" w:rsidRDefault="006D79A9" w:rsidP="000F047B">
      <w:pPr>
        <w:pStyle w:val="ListParagraph"/>
        <w:numPr>
          <w:ilvl w:val="0"/>
          <w:numId w:val="38"/>
        </w:numPr>
        <w:spacing w:after="0"/>
        <w:ind w:left="714" w:hanging="357"/>
        <w:contextualSpacing w:val="0"/>
        <w:rPr>
          <w:rFonts w:ascii="Gill Sans MT" w:hAnsi="Gill Sans MT"/>
          <w:bCs/>
          <w:szCs w:val="24"/>
        </w:rPr>
      </w:pPr>
      <w:r>
        <w:rPr>
          <w:rFonts w:ascii="Gill Sans MT" w:hAnsi="Gill Sans MT"/>
          <w:bCs/>
          <w:szCs w:val="24"/>
        </w:rPr>
        <w:t>Review</w:t>
      </w:r>
      <w:r w:rsidR="00D55B35">
        <w:rPr>
          <w:rFonts w:ascii="Gill Sans MT" w:hAnsi="Gill Sans MT"/>
          <w:bCs/>
          <w:szCs w:val="24"/>
        </w:rPr>
        <w:t>ing</w:t>
      </w:r>
      <w:r w:rsidR="00D238CA">
        <w:rPr>
          <w:rFonts w:ascii="Gill Sans MT" w:hAnsi="Gill Sans MT"/>
          <w:bCs/>
          <w:szCs w:val="24"/>
        </w:rPr>
        <w:t xml:space="preserve"> the proponent’s Major Project Impact Statement and </w:t>
      </w:r>
      <w:r w:rsidR="00D55B35">
        <w:rPr>
          <w:rFonts w:ascii="Gill Sans MT" w:hAnsi="Gill Sans MT"/>
          <w:bCs/>
          <w:szCs w:val="24"/>
        </w:rPr>
        <w:t>advising</w:t>
      </w:r>
      <w:r>
        <w:rPr>
          <w:rFonts w:ascii="Gill Sans MT" w:hAnsi="Gill Sans MT"/>
          <w:bCs/>
          <w:szCs w:val="24"/>
        </w:rPr>
        <w:t xml:space="preserve"> the Panel of </w:t>
      </w:r>
      <w:r w:rsidR="00D238CA">
        <w:rPr>
          <w:rFonts w:ascii="Gill Sans MT" w:hAnsi="Gill Sans MT"/>
          <w:bCs/>
          <w:szCs w:val="24"/>
        </w:rPr>
        <w:t xml:space="preserve">any further information </w:t>
      </w:r>
      <w:r>
        <w:rPr>
          <w:rFonts w:ascii="Gill Sans MT" w:hAnsi="Gill Sans MT"/>
          <w:bCs/>
          <w:szCs w:val="24"/>
        </w:rPr>
        <w:t xml:space="preserve">that is reasonably required </w:t>
      </w:r>
      <w:r w:rsidR="00D238CA">
        <w:rPr>
          <w:rFonts w:ascii="Gill Sans MT" w:hAnsi="Gill Sans MT"/>
          <w:bCs/>
          <w:szCs w:val="24"/>
        </w:rPr>
        <w:t>from the proponent</w:t>
      </w:r>
      <w:r>
        <w:rPr>
          <w:rFonts w:ascii="Gill Sans MT" w:hAnsi="Gill Sans MT"/>
          <w:bCs/>
          <w:szCs w:val="24"/>
        </w:rPr>
        <w:t xml:space="preserve"> in order to determine whether a </w:t>
      </w:r>
      <w:r w:rsidR="00837336">
        <w:rPr>
          <w:rFonts w:ascii="Gill Sans MT" w:hAnsi="Gill Sans MT"/>
          <w:bCs/>
          <w:szCs w:val="24"/>
        </w:rPr>
        <w:t xml:space="preserve">Major Project Permit </w:t>
      </w:r>
      <w:r>
        <w:rPr>
          <w:rFonts w:ascii="Gill Sans MT" w:hAnsi="Gill Sans MT"/>
          <w:bCs/>
          <w:szCs w:val="24"/>
        </w:rPr>
        <w:t xml:space="preserve">should be granted and the conditions </w:t>
      </w:r>
      <w:r w:rsidR="00D90220">
        <w:rPr>
          <w:rFonts w:ascii="Gill Sans MT" w:hAnsi="Gill Sans MT"/>
          <w:bCs/>
          <w:szCs w:val="24"/>
        </w:rPr>
        <w:t>or restrictions that</w:t>
      </w:r>
      <w:r>
        <w:rPr>
          <w:rFonts w:ascii="Gill Sans MT" w:hAnsi="Gill Sans MT"/>
          <w:bCs/>
          <w:szCs w:val="24"/>
        </w:rPr>
        <w:t xml:space="preserve"> should be placed on </w:t>
      </w:r>
      <w:r w:rsidR="00D770F2">
        <w:rPr>
          <w:rFonts w:ascii="Gill Sans MT" w:hAnsi="Gill Sans MT"/>
          <w:bCs/>
          <w:szCs w:val="24"/>
        </w:rPr>
        <w:t xml:space="preserve">the </w:t>
      </w:r>
      <w:r w:rsidR="00837336">
        <w:rPr>
          <w:rFonts w:ascii="Gill Sans MT" w:hAnsi="Gill Sans MT"/>
          <w:bCs/>
          <w:szCs w:val="24"/>
        </w:rPr>
        <w:t>permit</w:t>
      </w:r>
      <w:r>
        <w:rPr>
          <w:rFonts w:ascii="Gill Sans MT" w:hAnsi="Gill Sans MT"/>
          <w:bCs/>
          <w:szCs w:val="24"/>
        </w:rPr>
        <w:t>;</w:t>
      </w:r>
    </w:p>
    <w:p w14:paraId="21414C7D" w14:textId="77777777" w:rsidR="00736310" w:rsidRDefault="006D79A9" w:rsidP="000F047B">
      <w:pPr>
        <w:pStyle w:val="ListParagraph"/>
        <w:numPr>
          <w:ilvl w:val="0"/>
          <w:numId w:val="38"/>
        </w:numPr>
        <w:spacing w:after="0"/>
        <w:ind w:left="714" w:hanging="357"/>
        <w:contextualSpacing w:val="0"/>
        <w:rPr>
          <w:rFonts w:ascii="Gill Sans MT" w:hAnsi="Gill Sans MT"/>
          <w:bCs/>
          <w:szCs w:val="24"/>
        </w:rPr>
      </w:pPr>
      <w:r>
        <w:rPr>
          <w:rFonts w:ascii="Gill Sans MT" w:hAnsi="Gill Sans MT"/>
          <w:bCs/>
          <w:szCs w:val="24"/>
        </w:rPr>
        <w:t>P</w:t>
      </w:r>
      <w:r w:rsidR="005A713C">
        <w:rPr>
          <w:rFonts w:ascii="Gill Sans MT" w:hAnsi="Gill Sans MT"/>
          <w:bCs/>
          <w:szCs w:val="24"/>
        </w:rPr>
        <w:t>roviding</w:t>
      </w:r>
      <w:r w:rsidR="00D238CA">
        <w:rPr>
          <w:rFonts w:ascii="Gill Sans MT" w:hAnsi="Gill Sans MT"/>
          <w:bCs/>
          <w:szCs w:val="24"/>
        </w:rPr>
        <w:t xml:space="preserve"> the Panel with the regulator’s preliminary advice for inclusion in the draft Assessment Report;</w:t>
      </w:r>
    </w:p>
    <w:p w14:paraId="6120251C" w14:textId="55E8661A" w:rsidR="00D238CA" w:rsidRPr="000F047B" w:rsidRDefault="00D238CA" w:rsidP="000F047B">
      <w:pPr>
        <w:pStyle w:val="ListParagraph"/>
        <w:numPr>
          <w:ilvl w:val="0"/>
          <w:numId w:val="38"/>
        </w:numPr>
        <w:spacing w:after="0"/>
        <w:ind w:left="714" w:hanging="357"/>
        <w:contextualSpacing w:val="0"/>
        <w:rPr>
          <w:rFonts w:ascii="Gill Sans MT" w:hAnsi="Gill Sans MT"/>
          <w:bCs/>
          <w:szCs w:val="24"/>
        </w:rPr>
      </w:pPr>
      <w:r>
        <w:rPr>
          <w:rFonts w:ascii="Gill Sans MT" w:hAnsi="Gill Sans MT"/>
          <w:bCs/>
          <w:szCs w:val="24"/>
        </w:rPr>
        <w:t>Review</w:t>
      </w:r>
      <w:r w:rsidR="009B2DFB">
        <w:rPr>
          <w:rFonts w:ascii="Gill Sans MT" w:hAnsi="Gill Sans MT"/>
          <w:bCs/>
          <w:szCs w:val="24"/>
        </w:rPr>
        <w:t>ing</w:t>
      </w:r>
      <w:r>
        <w:rPr>
          <w:rFonts w:ascii="Gill Sans MT" w:hAnsi="Gill Sans MT"/>
          <w:bCs/>
          <w:szCs w:val="24"/>
        </w:rPr>
        <w:t xml:space="preserve"> relevant representations and information obta</w:t>
      </w:r>
      <w:r w:rsidR="00C414A8">
        <w:rPr>
          <w:rFonts w:ascii="Gill Sans MT" w:hAnsi="Gill Sans MT"/>
          <w:bCs/>
          <w:szCs w:val="24"/>
        </w:rPr>
        <w:t xml:space="preserve">ined during </w:t>
      </w:r>
      <w:r w:rsidR="00F07110">
        <w:rPr>
          <w:rFonts w:ascii="Gill Sans MT" w:hAnsi="Gill Sans MT"/>
          <w:bCs/>
          <w:szCs w:val="24"/>
        </w:rPr>
        <w:t xml:space="preserve">the </w:t>
      </w:r>
      <w:r w:rsidR="00740F7A">
        <w:rPr>
          <w:rFonts w:ascii="Gill Sans MT" w:hAnsi="Gill Sans MT"/>
          <w:bCs/>
          <w:szCs w:val="24"/>
        </w:rPr>
        <w:t>public exhibition and hearing process</w:t>
      </w:r>
      <w:r w:rsidR="004E0674">
        <w:rPr>
          <w:rFonts w:ascii="Gill Sans MT" w:hAnsi="Gill Sans MT"/>
          <w:bCs/>
          <w:szCs w:val="24"/>
        </w:rPr>
        <w:t>,</w:t>
      </w:r>
      <w:r w:rsidR="00C414A8">
        <w:rPr>
          <w:rFonts w:ascii="Gill Sans MT" w:hAnsi="Gill Sans MT"/>
          <w:bCs/>
          <w:szCs w:val="24"/>
        </w:rPr>
        <w:t xml:space="preserve"> and providing</w:t>
      </w:r>
      <w:r>
        <w:rPr>
          <w:rFonts w:ascii="Gill Sans MT" w:hAnsi="Gill Sans MT"/>
          <w:bCs/>
          <w:szCs w:val="24"/>
        </w:rPr>
        <w:t xml:space="preserve"> the Panel with the </w:t>
      </w:r>
      <w:r>
        <w:rPr>
          <w:rFonts w:ascii="Gill Sans MT" w:hAnsi="Gill Sans MT"/>
          <w:bCs/>
          <w:szCs w:val="24"/>
        </w:rPr>
        <w:t>regulat</w:t>
      </w:r>
      <w:r w:rsidR="00414A94">
        <w:rPr>
          <w:rFonts w:ascii="Gill Sans MT" w:hAnsi="Gill Sans MT"/>
          <w:bCs/>
          <w:szCs w:val="24"/>
        </w:rPr>
        <w:t>or’s final advice on whether a Major Project P</w:t>
      </w:r>
      <w:r>
        <w:rPr>
          <w:rFonts w:ascii="Gill Sans MT" w:hAnsi="Gill Sans MT"/>
          <w:bCs/>
          <w:szCs w:val="24"/>
        </w:rPr>
        <w:t xml:space="preserve">ermit should be granted and the conditions </w:t>
      </w:r>
      <w:r w:rsidR="003C1CBF">
        <w:rPr>
          <w:rFonts w:ascii="Gill Sans MT" w:hAnsi="Gill Sans MT"/>
          <w:bCs/>
          <w:szCs w:val="24"/>
        </w:rPr>
        <w:t xml:space="preserve">or restrictions that </w:t>
      </w:r>
      <w:r>
        <w:rPr>
          <w:rFonts w:ascii="Gill Sans MT" w:hAnsi="Gill Sans MT"/>
          <w:bCs/>
          <w:szCs w:val="24"/>
        </w:rPr>
        <w:t>should be placed on the permit;</w:t>
      </w:r>
    </w:p>
    <w:p w14:paraId="293C8AE0" w14:textId="65AD5EC7" w:rsidR="009D6C6E" w:rsidRDefault="009D6C6E" w:rsidP="000F047B">
      <w:pPr>
        <w:pStyle w:val="ListParagraph"/>
        <w:numPr>
          <w:ilvl w:val="0"/>
          <w:numId w:val="38"/>
        </w:numPr>
        <w:spacing w:after="0"/>
        <w:ind w:left="714" w:hanging="357"/>
        <w:contextualSpacing w:val="0"/>
        <w:rPr>
          <w:rFonts w:ascii="Gill Sans MT" w:hAnsi="Gill Sans MT"/>
          <w:bCs/>
          <w:szCs w:val="24"/>
        </w:rPr>
      </w:pPr>
      <w:r>
        <w:rPr>
          <w:rFonts w:ascii="Gill Sans MT" w:hAnsi="Gill Sans MT"/>
          <w:bCs/>
          <w:szCs w:val="24"/>
        </w:rPr>
        <w:t>In consultation with the Panel and ot</w:t>
      </w:r>
      <w:r w:rsidR="009912D4">
        <w:rPr>
          <w:rFonts w:ascii="Gill Sans MT" w:hAnsi="Gill Sans MT"/>
          <w:bCs/>
          <w:szCs w:val="24"/>
        </w:rPr>
        <w:t xml:space="preserve">her </w:t>
      </w:r>
      <w:r w:rsidR="00335F3A">
        <w:rPr>
          <w:rFonts w:ascii="Gill Sans MT" w:hAnsi="Gill Sans MT"/>
          <w:bCs/>
          <w:szCs w:val="24"/>
        </w:rPr>
        <w:t>participating</w:t>
      </w:r>
      <w:r w:rsidR="009912D4">
        <w:rPr>
          <w:rFonts w:ascii="Gill Sans MT" w:hAnsi="Gill Sans MT"/>
          <w:bCs/>
          <w:szCs w:val="24"/>
        </w:rPr>
        <w:t xml:space="preserve"> regulators, resolving</w:t>
      </w:r>
      <w:r>
        <w:rPr>
          <w:rFonts w:ascii="Gill Sans MT" w:hAnsi="Gill Sans MT"/>
          <w:bCs/>
          <w:szCs w:val="24"/>
        </w:rPr>
        <w:t xml:space="preserve"> any inconsistencies between conditions </w:t>
      </w:r>
      <w:r w:rsidR="004E0674">
        <w:rPr>
          <w:rFonts w:ascii="Gill Sans MT" w:hAnsi="Gill Sans MT"/>
          <w:bCs/>
          <w:szCs w:val="24"/>
        </w:rPr>
        <w:t xml:space="preserve">or restrictions </w:t>
      </w:r>
      <w:r>
        <w:rPr>
          <w:rFonts w:ascii="Gill Sans MT" w:hAnsi="Gill Sans MT"/>
          <w:bCs/>
          <w:szCs w:val="24"/>
        </w:rPr>
        <w:t xml:space="preserve">required to be placed on the </w:t>
      </w:r>
      <w:r w:rsidR="007A1F03">
        <w:rPr>
          <w:rFonts w:ascii="Gill Sans MT" w:hAnsi="Gill Sans MT"/>
          <w:bCs/>
          <w:szCs w:val="24"/>
        </w:rPr>
        <w:t>permit</w:t>
      </w:r>
      <w:r>
        <w:rPr>
          <w:rFonts w:ascii="Gill Sans MT" w:hAnsi="Gill Sans MT"/>
          <w:bCs/>
          <w:szCs w:val="24"/>
        </w:rPr>
        <w:t>;</w:t>
      </w:r>
    </w:p>
    <w:p w14:paraId="12A875D7" w14:textId="36914A5B" w:rsidR="00C00529" w:rsidRDefault="00C00529" w:rsidP="000F047B">
      <w:pPr>
        <w:pStyle w:val="ListParagraph"/>
        <w:numPr>
          <w:ilvl w:val="0"/>
          <w:numId w:val="38"/>
        </w:numPr>
        <w:spacing w:after="0"/>
        <w:ind w:left="714" w:hanging="357"/>
        <w:contextualSpacing w:val="0"/>
        <w:rPr>
          <w:rFonts w:ascii="Gill Sans MT" w:hAnsi="Gill Sans MT"/>
          <w:bCs/>
          <w:szCs w:val="24"/>
        </w:rPr>
      </w:pPr>
      <w:r>
        <w:rPr>
          <w:rFonts w:ascii="Gill Sans MT" w:hAnsi="Gill Sans MT"/>
          <w:bCs/>
          <w:szCs w:val="24"/>
        </w:rPr>
        <w:t>Notify</w:t>
      </w:r>
      <w:r w:rsidR="00881AF0">
        <w:rPr>
          <w:rFonts w:ascii="Gill Sans MT" w:hAnsi="Gill Sans MT"/>
          <w:bCs/>
          <w:szCs w:val="24"/>
        </w:rPr>
        <w:t>ing</w:t>
      </w:r>
      <w:r>
        <w:rPr>
          <w:rFonts w:ascii="Gill Sans MT" w:hAnsi="Gill Sans MT"/>
          <w:bCs/>
          <w:szCs w:val="24"/>
        </w:rPr>
        <w:t xml:space="preserve"> the Panel whether </w:t>
      </w:r>
      <w:r w:rsidR="00C62F48">
        <w:rPr>
          <w:rFonts w:ascii="Gill Sans MT" w:hAnsi="Gill Sans MT"/>
          <w:bCs/>
          <w:szCs w:val="24"/>
        </w:rPr>
        <w:t xml:space="preserve">the </w:t>
      </w:r>
      <w:r>
        <w:rPr>
          <w:rFonts w:ascii="Gill Sans MT" w:hAnsi="Gill Sans MT"/>
          <w:bCs/>
          <w:szCs w:val="24"/>
        </w:rPr>
        <w:t xml:space="preserve">documentation provided by the proponent under an IPPCC is satisfactory, including (where the regulator considers that the document is unsatisfactory) the reasons for </w:t>
      </w:r>
      <w:r w:rsidR="00550805">
        <w:rPr>
          <w:rFonts w:ascii="Gill Sans MT" w:hAnsi="Gill Sans MT"/>
          <w:bCs/>
          <w:szCs w:val="24"/>
        </w:rPr>
        <w:t>the regulator’s view</w:t>
      </w:r>
      <w:r w:rsidR="00A83053">
        <w:rPr>
          <w:rFonts w:ascii="Gill Sans MT" w:hAnsi="Gill Sans MT"/>
          <w:bCs/>
          <w:szCs w:val="24"/>
        </w:rPr>
        <w:t>;</w:t>
      </w:r>
      <w:r w:rsidR="00BF0A67">
        <w:rPr>
          <w:rFonts w:ascii="Gill Sans MT" w:hAnsi="Gill Sans MT"/>
          <w:bCs/>
          <w:szCs w:val="24"/>
        </w:rPr>
        <w:t xml:space="preserve"> </w:t>
      </w:r>
    </w:p>
    <w:p w14:paraId="36769FEE" w14:textId="7B589990" w:rsidR="007F22A6" w:rsidRPr="000C7402" w:rsidRDefault="007F22A6" w:rsidP="007F22A6">
      <w:pPr>
        <w:pStyle w:val="ListParagraph"/>
        <w:numPr>
          <w:ilvl w:val="0"/>
          <w:numId w:val="38"/>
        </w:numPr>
        <w:spacing w:after="0"/>
        <w:ind w:left="714" w:hanging="357"/>
        <w:contextualSpacing w:val="0"/>
        <w:rPr>
          <w:rFonts w:ascii="Gill Sans MT" w:hAnsi="Gill Sans MT"/>
          <w:bCs/>
          <w:szCs w:val="24"/>
        </w:rPr>
      </w:pPr>
      <w:r>
        <w:rPr>
          <w:rFonts w:ascii="Gill Sans MT" w:hAnsi="Gill Sans MT"/>
          <w:bCs/>
          <w:szCs w:val="24"/>
        </w:rPr>
        <w:t xml:space="preserve">Monitoring and enforcing conditions </w:t>
      </w:r>
      <w:r w:rsidR="000D5A44">
        <w:rPr>
          <w:rFonts w:ascii="Gill Sans MT" w:hAnsi="Gill Sans MT"/>
          <w:bCs/>
          <w:szCs w:val="24"/>
        </w:rPr>
        <w:t xml:space="preserve">or restrictions </w:t>
      </w:r>
      <w:r w:rsidRPr="000C7402">
        <w:rPr>
          <w:rFonts w:ascii="Gill Sans MT" w:hAnsi="Gill Sans MT"/>
          <w:bCs/>
          <w:szCs w:val="24"/>
        </w:rPr>
        <w:t xml:space="preserve">imposed by the regulator on a </w:t>
      </w:r>
      <w:r w:rsidR="000D5A44">
        <w:rPr>
          <w:rFonts w:ascii="Gill Sans MT" w:hAnsi="Gill Sans MT"/>
          <w:bCs/>
          <w:szCs w:val="24"/>
        </w:rPr>
        <w:t>permit</w:t>
      </w:r>
      <w:r w:rsidRPr="000C7402">
        <w:rPr>
          <w:rFonts w:ascii="Gill Sans MT" w:hAnsi="Gill Sans MT"/>
          <w:bCs/>
          <w:szCs w:val="24"/>
        </w:rPr>
        <w:t>.</w:t>
      </w:r>
    </w:p>
    <w:p w14:paraId="66F39780" w14:textId="7EA5C14A" w:rsidR="00AC11AE" w:rsidRPr="000C7402" w:rsidRDefault="00AC11AE" w:rsidP="000F047B">
      <w:pPr>
        <w:pStyle w:val="ListParagraph"/>
        <w:numPr>
          <w:ilvl w:val="0"/>
          <w:numId w:val="38"/>
        </w:numPr>
        <w:spacing w:after="0"/>
        <w:ind w:left="714" w:hanging="357"/>
        <w:contextualSpacing w:val="0"/>
        <w:rPr>
          <w:rFonts w:ascii="Gill Sans MT" w:hAnsi="Gill Sans MT"/>
          <w:bCs/>
          <w:szCs w:val="24"/>
        </w:rPr>
      </w:pPr>
      <w:r w:rsidRPr="000C7402">
        <w:rPr>
          <w:rFonts w:ascii="Gill Sans MT" w:hAnsi="Gill Sans MT"/>
          <w:bCs/>
          <w:szCs w:val="24"/>
        </w:rPr>
        <w:t>Where a Major Project Permit has commenced, r</w:t>
      </w:r>
      <w:r w:rsidR="00964BFE" w:rsidRPr="000C7402">
        <w:rPr>
          <w:rFonts w:ascii="Gill Sans MT" w:hAnsi="Gill Sans MT"/>
          <w:bCs/>
          <w:szCs w:val="24"/>
        </w:rPr>
        <w:t>equesting</w:t>
      </w:r>
      <w:r w:rsidRPr="000C7402">
        <w:rPr>
          <w:rFonts w:ascii="Gill Sans MT" w:hAnsi="Gill Sans MT"/>
          <w:bCs/>
          <w:szCs w:val="24"/>
        </w:rPr>
        <w:t xml:space="preserve"> minor </w:t>
      </w:r>
      <w:r w:rsidR="00964BFE" w:rsidRPr="000C7402">
        <w:rPr>
          <w:rFonts w:ascii="Gill Sans MT" w:hAnsi="Gill Sans MT"/>
          <w:bCs/>
          <w:szCs w:val="24"/>
        </w:rPr>
        <w:t xml:space="preserve">permit </w:t>
      </w:r>
      <w:r w:rsidRPr="000C7402">
        <w:rPr>
          <w:rFonts w:ascii="Gill Sans MT" w:hAnsi="Gill Sans MT"/>
          <w:bCs/>
          <w:szCs w:val="24"/>
        </w:rPr>
        <w:t>amendment</w:t>
      </w:r>
      <w:r w:rsidR="00964BFE" w:rsidRPr="000C7402">
        <w:rPr>
          <w:rFonts w:ascii="Gill Sans MT" w:hAnsi="Gill Sans MT"/>
          <w:bCs/>
          <w:szCs w:val="24"/>
        </w:rPr>
        <w:t>s</w:t>
      </w:r>
      <w:r w:rsidRPr="000C7402">
        <w:rPr>
          <w:rFonts w:ascii="Gill Sans MT" w:hAnsi="Gill Sans MT"/>
          <w:bCs/>
          <w:szCs w:val="24"/>
        </w:rPr>
        <w:t xml:space="preserve"> or providing comment and advice to the Panel or Commission</w:t>
      </w:r>
      <w:r w:rsidR="00D1398D" w:rsidRPr="000C7402">
        <w:rPr>
          <w:rFonts w:ascii="Gill Sans MT" w:hAnsi="Gill Sans MT"/>
          <w:bCs/>
          <w:szCs w:val="24"/>
        </w:rPr>
        <w:t xml:space="preserve"> on minor permit amendments</w:t>
      </w:r>
      <w:r w:rsidRPr="000C7402">
        <w:rPr>
          <w:rFonts w:ascii="Gill Sans MT" w:hAnsi="Gill Sans MT"/>
          <w:bCs/>
          <w:szCs w:val="24"/>
        </w:rPr>
        <w:t>;</w:t>
      </w:r>
    </w:p>
    <w:p w14:paraId="01EFC937" w14:textId="3E75736B" w:rsidR="0098598B" w:rsidRDefault="0098598B" w:rsidP="00EA58CB">
      <w:pPr>
        <w:pStyle w:val="ListParagraph"/>
        <w:numPr>
          <w:ilvl w:val="0"/>
          <w:numId w:val="38"/>
        </w:numPr>
        <w:spacing w:after="0"/>
        <w:contextualSpacing w:val="0"/>
        <w:rPr>
          <w:rFonts w:ascii="Gill Sans MT" w:hAnsi="Gill Sans MT"/>
          <w:bCs/>
          <w:szCs w:val="24"/>
        </w:rPr>
      </w:pPr>
      <w:r w:rsidRPr="000C7402">
        <w:rPr>
          <w:rFonts w:ascii="Gill Sans MT" w:hAnsi="Gill Sans MT"/>
          <w:bCs/>
          <w:szCs w:val="24"/>
        </w:rPr>
        <w:t xml:space="preserve">Providing advice to the Panel or Commission </w:t>
      </w:r>
      <w:r w:rsidR="00964BFE" w:rsidRPr="000C7402">
        <w:rPr>
          <w:rFonts w:ascii="Gill Sans MT" w:hAnsi="Gill Sans MT"/>
          <w:bCs/>
          <w:szCs w:val="24"/>
        </w:rPr>
        <w:t xml:space="preserve">on requests for </w:t>
      </w:r>
      <w:r w:rsidRPr="000C7402">
        <w:rPr>
          <w:rFonts w:ascii="Gill Sans MT" w:hAnsi="Gill Sans MT"/>
          <w:bCs/>
          <w:szCs w:val="24"/>
        </w:rPr>
        <w:t>significant amendment</w:t>
      </w:r>
      <w:r w:rsidR="00964BFE" w:rsidRPr="000C7402">
        <w:rPr>
          <w:rFonts w:ascii="Gill Sans MT" w:hAnsi="Gill Sans MT"/>
          <w:bCs/>
          <w:szCs w:val="24"/>
        </w:rPr>
        <w:t>s</w:t>
      </w:r>
      <w:r w:rsidRPr="000C7402">
        <w:rPr>
          <w:rFonts w:ascii="Gill Sans MT" w:hAnsi="Gill Sans MT"/>
          <w:bCs/>
          <w:szCs w:val="24"/>
        </w:rPr>
        <w:t xml:space="preserve"> to a Major Project Permit, and whether such requests </w:t>
      </w:r>
      <w:r w:rsidR="00F2296B" w:rsidRPr="000C7402">
        <w:rPr>
          <w:rFonts w:ascii="Gill Sans MT" w:hAnsi="Gill Sans MT"/>
          <w:bCs/>
          <w:szCs w:val="24"/>
        </w:rPr>
        <w:t>can be ‘re-assessed</w:t>
      </w:r>
      <w:r w:rsidR="00EA58CB" w:rsidRPr="000C7402">
        <w:rPr>
          <w:rFonts w:ascii="Gill Sans MT" w:hAnsi="Gill Sans MT"/>
          <w:bCs/>
          <w:szCs w:val="24"/>
        </w:rPr>
        <w:t>’</w:t>
      </w:r>
      <w:r w:rsidR="00F2296B" w:rsidRPr="000C7402">
        <w:rPr>
          <w:rFonts w:ascii="Gill Sans MT" w:hAnsi="Gill Sans MT"/>
          <w:bCs/>
          <w:szCs w:val="24"/>
        </w:rPr>
        <w:t xml:space="preserve"> without being declared by the Minister or whether they </w:t>
      </w:r>
      <w:r w:rsidRPr="000C7402">
        <w:rPr>
          <w:rFonts w:ascii="Gill Sans MT" w:hAnsi="Gill Sans MT"/>
          <w:bCs/>
          <w:szCs w:val="24"/>
        </w:rPr>
        <w:t>constitute a new project altogether</w:t>
      </w:r>
      <w:r w:rsidR="00EA58CB" w:rsidRPr="000C7402">
        <w:rPr>
          <w:rFonts w:ascii="Gill Sans MT" w:hAnsi="Gill Sans MT"/>
          <w:bCs/>
          <w:szCs w:val="24"/>
        </w:rPr>
        <w:t>.</w:t>
      </w:r>
    </w:p>
    <w:p w14:paraId="3AD99B66" w14:textId="77777777" w:rsidR="00EE43BE" w:rsidRPr="000C7402" w:rsidRDefault="00EE43BE" w:rsidP="00EE43BE">
      <w:pPr>
        <w:pStyle w:val="ListParagraph"/>
        <w:spacing w:after="0"/>
        <w:contextualSpacing w:val="0"/>
        <w:rPr>
          <w:rFonts w:ascii="Gill Sans MT" w:hAnsi="Gill Sans MT"/>
          <w:bCs/>
          <w:szCs w:val="24"/>
        </w:rPr>
      </w:pPr>
    </w:p>
    <w:p w14:paraId="7234A52D" w14:textId="77777777" w:rsidR="00DC306D" w:rsidRDefault="00DC306D" w:rsidP="00DC306D">
      <w:pPr>
        <w:pStyle w:val="Heading2"/>
      </w:pPr>
      <w:r>
        <w:lastRenderedPageBreak/>
        <w:t>Role of the Tasmanian Planning Commission</w:t>
      </w:r>
    </w:p>
    <w:p w14:paraId="68B19F70" w14:textId="1E6A9963" w:rsidR="00DC306D" w:rsidRPr="00131027" w:rsidRDefault="00DC306D" w:rsidP="00D65677">
      <w:pPr>
        <w:spacing w:after="120"/>
        <w:rPr>
          <w:rFonts w:ascii="Gill Sans MT" w:hAnsi="Gill Sans MT"/>
          <w:bCs/>
          <w:szCs w:val="24"/>
        </w:rPr>
      </w:pPr>
      <w:r w:rsidRPr="00131027">
        <w:rPr>
          <w:rFonts w:ascii="Gill Sans MT" w:hAnsi="Gill Sans MT"/>
          <w:bCs/>
          <w:szCs w:val="24"/>
        </w:rPr>
        <w:t xml:space="preserve">The role of the </w:t>
      </w:r>
      <w:r w:rsidR="000D62DC">
        <w:rPr>
          <w:rFonts w:ascii="Gill Sans MT" w:hAnsi="Gill Sans MT"/>
          <w:bCs/>
          <w:szCs w:val="24"/>
        </w:rPr>
        <w:t>Commission</w:t>
      </w:r>
      <w:r w:rsidR="00E3210F" w:rsidRPr="00131027">
        <w:rPr>
          <w:rFonts w:ascii="Gill Sans MT" w:hAnsi="Gill Sans MT"/>
          <w:bCs/>
          <w:szCs w:val="24"/>
        </w:rPr>
        <w:t xml:space="preserve"> </w:t>
      </w:r>
      <w:r w:rsidRPr="00131027">
        <w:rPr>
          <w:rFonts w:ascii="Gill Sans MT" w:hAnsi="Gill Sans MT"/>
          <w:bCs/>
          <w:szCs w:val="24"/>
        </w:rPr>
        <w:t>includes:</w:t>
      </w:r>
    </w:p>
    <w:p w14:paraId="013E81B4" w14:textId="7E787DCB" w:rsidR="00DC306D" w:rsidRPr="00131027" w:rsidRDefault="00DC306D" w:rsidP="00DC306D">
      <w:pPr>
        <w:pStyle w:val="ListParagraph"/>
        <w:numPr>
          <w:ilvl w:val="0"/>
          <w:numId w:val="38"/>
        </w:numPr>
        <w:ind w:left="714" w:hanging="357"/>
        <w:contextualSpacing w:val="0"/>
        <w:rPr>
          <w:rFonts w:ascii="Gill Sans MT" w:hAnsi="Gill Sans MT"/>
          <w:bCs/>
          <w:szCs w:val="24"/>
        </w:rPr>
      </w:pPr>
      <w:r w:rsidRPr="00131027">
        <w:rPr>
          <w:rFonts w:ascii="Gill Sans MT" w:hAnsi="Gill Sans MT"/>
          <w:bCs/>
          <w:szCs w:val="24"/>
        </w:rPr>
        <w:t>Establishing the Panel</w:t>
      </w:r>
      <w:r w:rsidR="004440A0" w:rsidRPr="00131027">
        <w:rPr>
          <w:rFonts w:ascii="Gill Sans MT" w:hAnsi="Gill Sans MT"/>
          <w:bCs/>
          <w:szCs w:val="24"/>
        </w:rPr>
        <w:t xml:space="preserve"> and appointing </w:t>
      </w:r>
      <w:r w:rsidR="00131027" w:rsidRPr="00131027">
        <w:rPr>
          <w:rFonts w:ascii="Gill Sans MT" w:hAnsi="Gill Sans MT"/>
          <w:bCs/>
          <w:szCs w:val="24"/>
        </w:rPr>
        <w:t xml:space="preserve">Panel </w:t>
      </w:r>
      <w:r w:rsidR="004440A0" w:rsidRPr="00131027">
        <w:rPr>
          <w:rFonts w:ascii="Gill Sans MT" w:hAnsi="Gill Sans MT"/>
          <w:bCs/>
          <w:szCs w:val="24"/>
        </w:rPr>
        <w:t>members</w:t>
      </w:r>
      <w:r w:rsidRPr="00131027">
        <w:rPr>
          <w:rFonts w:ascii="Gill Sans MT" w:hAnsi="Gill Sans MT"/>
          <w:bCs/>
          <w:szCs w:val="24"/>
        </w:rPr>
        <w:t>;</w:t>
      </w:r>
    </w:p>
    <w:p w14:paraId="0A6DCE53" w14:textId="24517F8D" w:rsidR="004440A0" w:rsidRPr="00131027" w:rsidRDefault="006E79DA" w:rsidP="004440A0">
      <w:pPr>
        <w:pStyle w:val="ListParagraph"/>
        <w:numPr>
          <w:ilvl w:val="0"/>
          <w:numId w:val="38"/>
        </w:numPr>
        <w:ind w:left="714" w:hanging="357"/>
        <w:contextualSpacing w:val="0"/>
        <w:rPr>
          <w:rFonts w:ascii="Gill Sans MT" w:hAnsi="Gill Sans MT"/>
          <w:bCs/>
          <w:szCs w:val="24"/>
        </w:rPr>
      </w:pPr>
      <w:r>
        <w:rPr>
          <w:rFonts w:ascii="Gill Sans MT" w:hAnsi="Gill Sans MT"/>
          <w:bCs/>
          <w:szCs w:val="24"/>
        </w:rPr>
        <w:t>Revoking the appointment of</w:t>
      </w:r>
      <w:r w:rsidR="004440A0" w:rsidRPr="00131027">
        <w:rPr>
          <w:rFonts w:ascii="Gill Sans MT" w:hAnsi="Gill Sans MT"/>
          <w:bCs/>
          <w:szCs w:val="24"/>
        </w:rPr>
        <w:t xml:space="preserve"> </w:t>
      </w:r>
      <w:r w:rsidR="00131027" w:rsidRPr="00131027">
        <w:rPr>
          <w:rFonts w:ascii="Gill Sans MT" w:hAnsi="Gill Sans MT"/>
          <w:bCs/>
          <w:szCs w:val="24"/>
        </w:rPr>
        <w:t>Panel member</w:t>
      </w:r>
      <w:r>
        <w:rPr>
          <w:rFonts w:ascii="Gill Sans MT" w:hAnsi="Gill Sans MT"/>
          <w:bCs/>
          <w:szCs w:val="24"/>
        </w:rPr>
        <w:t>s</w:t>
      </w:r>
      <w:r w:rsidR="004440A0" w:rsidRPr="00131027">
        <w:rPr>
          <w:rFonts w:ascii="Gill Sans MT" w:hAnsi="Gill Sans MT"/>
          <w:bCs/>
          <w:szCs w:val="24"/>
        </w:rPr>
        <w:t>;</w:t>
      </w:r>
    </w:p>
    <w:p w14:paraId="6BA41D3F" w14:textId="79CE9F6A" w:rsidR="004440A0" w:rsidRPr="00131027" w:rsidRDefault="004440A0" w:rsidP="004440A0">
      <w:pPr>
        <w:pStyle w:val="ListParagraph"/>
        <w:numPr>
          <w:ilvl w:val="0"/>
          <w:numId w:val="38"/>
        </w:numPr>
        <w:ind w:left="714" w:hanging="357"/>
        <w:contextualSpacing w:val="0"/>
        <w:rPr>
          <w:rFonts w:ascii="Gill Sans MT" w:hAnsi="Gill Sans MT"/>
          <w:bCs/>
          <w:szCs w:val="24"/>
        </w:rPr>
      </w:pPr>
      <w:r w:rsidRPr="00131027">
        <w:rPr>
          <w:rFonts w:ascii="Gill Sans MT" w:hAnsi="Gill Sans MT"/>
          <w:bCs/>
          <w:szCs w:val="24"/>
        </w:rPr>
        <w:t>Providing the Panel with the Major Project Proposal and any</w:t>
      </w:r>
      <w:r w:rsidR="00F13F09" w:rsidRPr="00131027">
        <w:rPr>
          <w:rFonts w:ascii="Gill Sans MT" w:hAnsi="Gill Sans MT"/>
          <w:bCs/>
          <w:szCs w:val="24"/>
        </w:rPr>
        <w:t xml:space="preserve"> </w:t>
      </w:r>
      <w:r w:rsidRPr="00131027">
        <w:rPr>
          <w:rFonts w:ascii="Gill Sans MT" w:hAnsi="Gill Sans MT"/>
          <w:bCs/>
          <w:szCs w:val="24"/>
        </w:rPr>
        <w:t>information provided to the Commission in relation to the major project;</w:t>
      </w:r>
    </w:p>
    <w:p w14:paraId="494F0C8A" w14:textId="354E17D2" w:rsidR="00523547" w:rsidRPr="00131027" w:rsidRDefault="00523547" w:rsidP="004440A0">
      <w:pPr>
        <w:pStyle w:val="ListParagraph"/>
        <w:numPr>
          <w:ilvl w:val="0"/>
          <w:numId w:val="38"/>
        </w:numPr>
        <w:ind w:left="714" w:hanging="357"/>
        <w:contextualSpacing w:val="0"/>
        <w:rPr>
          <w:rFonts w:ascii="Gill Sans MT" w:hAnsi="Gill Sans MT"/>
          <w:bCs/>
          <w:szCs w:val="24"/>
        </w:rPr>
      </w:pPr>
      <w:r w:rsidRPr="00131027">
        <w:rPr>
          <w:rFonts w:ascii="Gill Sans MT" w:hAnsi="Gill Sans MT"/>
          <w:bCs/>
          <w:szCs w:val="24"/>
        </w:rPr>
        <w:t>Referring the major project to each relevant regulator;</w:t>
      </w:r>
    </w:p>
    <w:p w14:paraId="56028D16" w14:textId="7FE77B39" w:rsidR="00DC306D" w:rsidRPr="00131027" w:rsidRDefault="00DC306D" w:rsidP="00DC306D">
      <w:pPr>
        <w:pStyle w:val="ListParagraph"/>
        <w:numPr>
          <w:ilvl w:val="0"/>
          <w:numId w:val="38"/>
        </w:numPr>
        <w:ind w:left="714" w:hanging="357"/>
        <w:contextualSpacing w:val="0"/>
        <w:rPr>
          <w:rFonts w:ascii="Gill Sans MT" w:hAnsi="Gill Sans MT"/>
          <w:bCs/>
          <w:szCs w:val="24"/>
        </w:rPr>
      </w:pPr>
      <w:r w:rsidRPr="00131027">
        <w:rPr>
          <w:rFonts w:ascii="Gill Sans MT" w:hAnsi="Gill Sans MT"/>
          <w:bCs/>
          <w:szCs w:val="24"/>
        </w:rPr>
        <w:t>Issuing Determination Guidelines regarding the matters to which the Minister is to have regard when declaring a major project;</w:t>
      </w:r>
    </w:p>
    <w:p w14:paraId="6E6F3C9B" w14:textId="4D249996" w:rsidR="00F21966" w:rsidRPr="00131027" w:rsidRDefault="00F21966" w:rsidP="00F21966">
      <w:pPr>
        <w:pStyle w:val="ListParagraph"/>
        <w:numPr>
          <w:ilvl w:val="0"/>
          <w:numId w:val="38"/>
        </w:numPr>
        <w:ind w:left="714" w:hanging="357"/>
        <w:contextualSpacing w:val="0"/>
        <w:rPr>
          <w:rFonts w:ascii="Gill Sans MT" w:hAnsi="Gill Sans MT"/>
          <w:bCs/>
          <w:szCs w:val="24"/>
        </w:rPr>
      </w:pPr>
      <w:r w:rsidRPr="00131027">
        <w:rPr>
          <w:rFonts w:ascii="Gill Sans MT" w:hAnsi="Gill Sans MT"/>
          <w:bCs/>
          <w:szCs w:val="24"/>
        </w:rPr>
        <w:t>Notifying the Panel that a relevant reg</w:t>
      </w:r>
      <w:r w:rsidR="00ED0DA3" w:rsidRPr="00131027">
        <w:rPr>
          <w:rFonts w:ascii="Gill Sans MT" w:hAnsi="Gill Sans MT"/>
          <w:bCs/>
          <w:szCs w:val="24"/>
        </w:rPr>
        <w:t>ulator has given notice that it</w:t>
      </w:r>
      <w:r w:rsidRPr="00131027">
        <w:rPr>
          <w:rFonts w:ascii="Gill Sans MT" w:hAnsi="Gill Sans MT"/>
          <w:bCs/>
          <w:szCs w:val="24"/>
        </w:rPr>
        <w:t xml:space="preserve"> intends </w:t>
      </w:r>
      <w:r w:rsidR="00252583" w:rsidRPr="00131027">
        <w:rPr>
          <w:rFonts w:ascii="Gill Sans MT" w:hAnsi="Gill Sans MT"/>
          <w:bCs/>
          <w:szCs w:val="24"/>
        </w:rPr>
        <w:t xml:space="preserve">to assess a major project </w:t>
      </w:r>
      <w:r w:rsidRPr="00131027">
        <w:rPr>
          <w:rFonts w:ascii="Gill Sans MT" w:hAnsi="Gill Sans MT"/>
          <w:bCs/>
          <w:szCs w:val="24"/>
        </w:rPr>
        <w:t>under their relevant project-associated Act;</w:t>
      </w:r>
    </w:p>
    <w:p w14:paraId="18D3880B" w14:textId="5B749CB5" w:rsidR="004117BC" w:rsidRPr="00131027" w:rsidRDefault="004117BC" w:rsidP="004117BC">
      <w:pPr>
        <w:pStyle w:val="ListParagraph"/>
        <w:numPr>
          <w:ilvl w:val="0"/>
          <w:numId w:val="38"/>
        </w:numPr>
        <w:ind w:left="714" w:hanging="357"/>
        <w:contextualSpacing w:val="0"/>
        <w:rPr>
          <w:rFonts w:ascii="Gill Sans MT" w:hAnsi="Gill Sans MT"/>
          <w:bCs/>
          <w:szCs w:val="24"/>
        </w:rPr>
      </w:pPr>
      <w:r w:rsidRPr="00131027">
        <w:rPr>
          <w:rFonts w:ascii="Gill Sans MT" w:hAnsi="Gill Sans MT"/>
          <w:bCs/>
          <w:szCs w:val="24"/>
        </w:rPr>
        <w:t xml:space="preserve">Issuing </w:t>
      </w:r>
      <w:r w:rsidR="00D46C96" w:rsidRPr="00131027">
        <w:rPr>
          <w:rFonts w:ascii="Gill Sans MT" w:hAnsi="Gill Sans MT"/>
          <w:bCs/>
          <w:szCs w:val="24"/>
        </w:rPr>
        <w:t xml:space="preserve">any </w:t>
      </w:r>
      <w:r w:rsidR="00131027" w:rsidRPr="00131027">
        <w:rPr>
          <w:rFonts w:ascii="Gill Sans MT" w:hAnsi="Gill Sans MT"/>
          <w:bCs/>
          <w:szCs w:val="24"/>
        </w:rPr>
        <w:t>guidelines</w:t>
      </w:r>
      <w:r w:rsidRPr="00131027">
        <w:rPr>
          <w:rFonts w:ascii="Gill Sans MT" w:hAnsi="Gill Sans MT"/>
          <w:bCs/>
          <w:szCs w:val="24"/>
        </w:rPr>
        <w:t xml:space="preserve"> to assist participating regulators to determine the contents of an assessment requirement notice</w:t>
      </w:r>
      <w:r w:rsidR="00D46C96" w:rsidRPr="00131027">
        <w:rPr>
          <w:rFonts w:ascii="Gill Sans MT" w:hAnsi="Gill Sans MT"/>
          <w:bCs/>
          <w:szCs w:val="24"/>
        </w:rPr>
        <w:t>;</w:t>
      </w:r>
    </w:p>
    <w:p w14:paraId="695D940F" w14:textId="39E27EE9" w:rsidR="006064C9" w:rsidRPr="00131027" w:rsidRDefault="006064C9" w:rsidP="00DC306D">
      <w:pPr>
        <w:pStyle w:val="ListParagraph"/>
        <w:numPr>
          <w:ilvl w:val="0"/>
          <w:numId w:val="38"/>
        </w:numPr>
        <w:ind w:left="714" w:hanging="357"/>
        <w:contextualSpacing w:val="0"/>
        <w:rPr>
          <w:rFonts w:ascii="Gill Sans MT" w:hAnsi="Gill Sans MT"/>
          <w:bCs/>
          <w:szCs w:val="24"/>
        </w:rPr>
      </w:pPr>
      <w:r w:rsidRPr="00131027">
        <w:rPr>
          <w:rFonts w:ascii="Gill Sans MT" w:hAnsi="Gill Sans MT"/>
          <w:bCs/>
          <w:szCs w:val="24"/>
        </w:rPr>
        <w:t>Issuing a notice that it is satisfied that the proponent has taken all reasonable steps to enter into any required agreements to which a Major Project Permit relates;</w:t>
      </w:r>
    </w:p>
    <w:p w14:paraId="00E73326" w14:textId="036FF7F6" w:rsidR="00B816A0" w:rsidRPr="00131027" w:rsidRDefault="00DC306D" w:rsidP="00643FD8">
      <w:pPr>
        <w:pStyle w:val="ListParagraph"/>
        <w:numPr>
          <w:ilvl w:val="0"/>
          <w:numId w:val="38"/>
        </w:numPr>
        <w:ind w:left="714" w:hanging="357"/>
        <w:contextualSpacing w:val="0"/>
        <w:rPr>
          <w:rFonts w:ascii="Gill Sans MT" w:hAnsi="Gill Sans MT"/>
          <w:bCs/>
          <w:szCs w:val="24"/>
        </w:rPr>
      </w:pPr>
      <w:r w:rsidRPr="00131027">
        <w:rPr>
          <w:rFonts w:ascii="Gill Sans MT" w:hAnsi="Gill Sans MT"/>
          <w:bCs/>
          <w:szCs w:val="24"/>
        </w:rPr>
        <w:t xml:space="preserve">In consultation with the relevant planning authority, amending the relevant </w:t>
      </w:r>
      <w:r w:rsidR="000C3BAA" w:rsidRPr="00131027">
        <w:rPr>
          <w:rFonts w:ascii="Gill Sans MT" w:hAnsi="Gill Sans MT"/>
          <w:bCs/>
          <w:szCs w:val="24"/>
        </w:rPr>
        <w:t xml:space="preserve">planning scheme or </w:t>
      </w:r>
      <w:r w:rsidR="005A58D1" w:rsidRPr="00131027">
        <w:rPr>
          <w:rFonts w:ascii="Gill Sans MT" w:hAnsi="Gill Sans MT"/>
          <w:bCs/>
          <w:szCs w:val="24"/>
        </w:rPr>
        <w:t xml:space="preserve">Local Provisions Schedule </w:t>
      </w:r>
      <w:r w:rsidRPr="00131027">
        <w:rPr>
          <w:rFonts w:ascii="Gill Sans MT" w:hAnsi="Gill Sans MT"/>
          <w:bCs/>
          <w:szCs w:val="24"/>
        </w:rPr>
        <w:t>to remove any inconsiste</w:t>
      </w:r>
      <w:r w:rsidR="00E30474" w:rsidRPr="00131027">
        <w:rPr>
          <w:rFonts w:ascii="Gill Sans MT" w:hAnsi="Gill Sans MT"/>
          <w:bCs/>
          <w:szCs w:val="24"/>
        </w:rPr>
        <w:t>ncy;</w:t>
      </w:r>
    </w:p>
    <w:p w14:paraId="5FB25570" w14:textId="57254C39" w:rsidR="00E30474" w:rsidRPr="00131027" w:rsidRDefault="00E30474" w:rsidP="00E30474">
      <w:pPr>
        <w:pStyle w:val="ListParagraph"/>
        <w:numPr>
          <w:ilvl w:val="0"/>
          <w:numId w:val="38"/>
        </w:numPr>
        <w:ind w:left="714" w:hanging="357"/>
        <w:contextualSpacing w:val="0"/>
        <w:rPr>
          <w:rFonts w:ascii="Gill Sans MT" w:hAnsi="Gill Sans MT"/>
          <w:bCs/>
          <w:szCs w:val="24"/>
        </w:rPr>
      </w:pPr>
      <w:r w:rsidRPr="00131027">
        <w:rPr>
          <w:rFonts w:ascii="Gill Sans MT" w:hAnsi="Gill Sans MT"/>
          <w:bCs/>
          <w:szCs w:val="24"/>
        </w:rPr>
        <w:t xml:space="preserve">Where a Major Project Permit has </w:t>
      </w:r>
      <w:r w:rsidR="00535204">
        <w:rPr>
          <w:rFonts w:ascii="Gill Sans MT" w:hAnsi="Gill Sans MT"/>
          <w:bCs/>
          <w:szCs w:val="24"/>
        </w:rPr>
        <w:t>taken effect</w:t>
      </w:r>
      <w:r w:rsidRPr="00131027">
        <w:rPr>
          <w:rFonts w:ascii="Gill Sans MT" w:hAnsi="Gill Sans MT"/>
          <w:bCs/>
          <w:szCs w:val="24"/>
        </w:rPr>
        <w:t xml:space="preserve">, </w:t>
      </w:r>
      <w:r w:rsidR="00F85A7B">
        <w:rPr>
          <w:rFonts w:ascii="Gill Sans MT" w:hAnsi="Gill Sans MT"/>
          <w:bCs/>
          <w:szCs w:val="24"/>
        </w:rPr>
        <w:t xml:space="preserve">correcting </w:t>
      </w:r>
      <w:r w:rsidR="00F85A7B">
        <w:rPr>
          <w:rFonts w:ascii="Gill Sans MT" w:hAnsi="Gill Sans MT"/>
          <w:bCs/>
        </w:rPr>
        <w:t>obvious clerical mistakes or miscalculations on the permit,</w:t>
      </w:r>
      <w:r w:rsidR="00F85A7B">
        <w:rPr>
          <w:rFonts w:ascii="Gill Sans MT" w:hAnsi="Gill Sans MT"/>
          <w:bCs/>
          <w:szCs w:val="24"/>
        </w:rPr>
        <w:t xml:space="preserve"> </w:t>
      </w:r>
      <w:r w:rsidRPr="00131027">
        <w:rPr>
          <w:rFonts w:ascii="Gill Sans MT" w:hAnsi="Gill Sans MT"/>
          <w:bCs/>
          <w:szCs w:val="24"/>
        </w:rPr>
        <w:t xml:space="preserve">assessing applications for permit amendments or </w:t>
      </w:r>
      <w:r w:rsidR="00F85A7B">
        <w:rPr>
          <w:rFonts w:ascii="Gill Sans MT" w:hAnsi="Gill Sans MT"/>
          <w:bCs/>
          <w:szCs w:val="24"/>
        </w:rPr>
        <w:t>cancelling</w:t>
      </w:r>
      <w:r w:rsidRPr="00131027">
        <w:rPr>
          <w:rFonts w:ascii="Gill Sans MT" w:hAnsi="Gill Sans MT"/>
          <w:bCs/>
          <w:szCs w:val="24"/>
        </w:rPr>
        <w:t xml:space="preserve"> the permit in accordance with the statutory requirements; and</w:t>
      </w:r>
    </w:p>
    <w:p w14:paraId="0B2F00C4" w14:textId="57C37B9F" w:rsidR="00E30474" w:rsidRPr="00131027" w:rsidRDefault="00E30474" w:rsidP="00E30474">
      <w:pPr>
        <w:pStyle w:val="ListParagraph"/>
        <w:numPr>
          <w:ilvl w:val="0"/>
          <w:numId w:val="38"/>
        </w:numPr>
        <w:ind w:left="714" w:hanging="357"/>
        <w:contextualSpacing w:val="0"/>
        <w:rPr>
          <w:rFonts w:ascii="Gill Sans MT" w:hAnsi="Gill Sans MT"/>
          <w:bCs/>
          <w:szCs w:val="24"/>
        </w:rPr>
      </w:pPr>
      <w:r w:rsidRPr="00131027">
        <w:rPr>
          <w:rFonts w:ascii="Gill Sans MT" w:hAnsi="Gill Sans MT"/>
          <w:bCs/>
          <w:szCs w:val="24"/>
        </w:rPr>
        <w:t xml:space="preserve">Granting an extension to a Major Project Permit that has not been substantially commenced within </w:t>
      </w:r>
      <w:r w:rsidR="00F85A7B">
        <w:rPr>
          <w:rFonts w:ascii="Gill Sans MT" w:hAnsi="Gill Sans MT"/>
          <w:bCs/>
          <w:szCs w:val="24"/>
        </w:rPr>
        <w:t>4 </w:t>
      </w:r>
      <w:r w:rsidRPr="00131027">
        <w:rPr>
          <w:rFonts w:ascii="Gill Sans MT" w:hAnsi="Gill Sans MT"/>
          <w:bCs/>
          <w:szCs w:val="24"/>
        </w:rPr>
        <w:t>years from when it was granted.</w:t>
      </w:r>
    </w:p>
    <w:p w14:paraId="01339CA0" w14:textId="6F69F3D9" w:rsidR="00AC45BD" w:rsidRDefault="00AC45BD" w:rsidP="00AC45BD">
      <w:pPr>
        <w:pStyle w:val="Heading2"/>
      </w:pPr>
      <w:r>
        <w:t xml:space="preserve">Role of </w:t>
      </w:r>
      <w:r w:rsidR="00135C81">
        <w:t>Local Councils</w:t>
      </w:r>
    </w:p>
    <w:p w14:paraId="05417DE7" w14:textId="03DD8E76" w:rsidR="00AC45BD" w:rsidRPr="00354EFC" w:rsidRDefault="007727F7" w:rsidP="00D65677">
      <w:pPr>
        <w:spacing w:after="120"/>
        <w:rPr>
          <w:rFonts w:ascii="Gill Sans MT" w:hAnsi="Gill Sans MT"/>
          <w:bCs/>
          <w:szCs w:val="24"/>
        </w:rPr>
      </w:pPr>
      <w:r w:rsidRPr="00354EFC">
        <w:rPr>
          <w:rFonts w:ascii="Gill Sans MT" w:hAnsi="Gill Sans MT"/>
          <w:bCs/>
          <w:szCs w:val="24"/>
        </w:rPr>
        <w:t xml:space="preserve">The role of </w:t>
      </w:r>
      <w:r w:rsidR="00135C81" w:rsidRPr="00354EFC">
        <w:rPr>
          <w:rFonts w:ascii="Gill Sans MT" w:hAnsi="Gill Sans MT"/>
          <w:bCs/>
          <w:szCs w:val="24"/>
        </w:rPr>
        <w:t xml:space="preserve">local councils (and </w:t>
      </w:r>
      <w:r w:rsidR="005552F0" w:rsidRPr="00354EFC">
        <w:rPr>
          <w:rFonts w:ascii="Gill Sans MT" w:hAnsi="Gill Sans MT"/>
          <w:bCs/>
          <w:szCs w:val="24"/>
        </w:rPr>
        <w:t>planning authorities</w:t>
      </w:r>
      <w:r w:rsidR="00135C81" w:rsidRPr="00354EFC">
        <w:rPr>
          <w:rFonts w:ascii="Gill Sans MT" w:hAnsi="Gill Sans MT"/>
          <w:bCs/>
          <w:szCs w:val="24"/>
        </w:rPr>
        <w:t>)</w:t>
      </w:r>
      <w:r w:rsidR="00CA5100" w:rsidRPr="00354EFC">
        <w:rPr>
          <w:rFonts w:ascii="Gill Sans MT" w:hAnsi="Gill Sans MT"/>
          <w:bCs/>
          <w:szCs w:val="24"/>
        </w:rPr>
        <w:t xml:space="preserve"> include</w:t>
      </w:r>
      <w:r w:rsidRPr="00354EFC">
        <w:rPr>
          <w:rFonts w:ascii="Gill Sans MT" w:hAnsi="Gill Sans MT"/>
          <w:bCs/>
          <w:szCs w:val="24"/>
        </w:rPr>
        <w:t>:</w:t>
      </w:r>
    </w:p>
    <w:p w14:paraId="2AD403E9" w14:textId="163CFEC6" w:rsidR="007727F7" w:rsidRPr="00354EFC" w:rsidRDefault="00AB2853" w:rsidP="008F33C2">
      <w:pPr>
        <w:pStyle w:val="ListParagraph"/>
        <w:numPr>
          <w:ilvl w:val="0"/>
          <w:numId w:val="38"/>
        </w:numPr>
        <w:spacing w:after="0"/>
        <w:ind w:left="714" w:hanging="357"/>
        <w:contextualSpacing w:val="0"/>
        <w:rPr>
          <w:rFonts w:ascii="Gill Sans MT" w:hAnsi="Gill Sans MT"/>
          <w:bCs/>
          <w:szCs w:val="24"/>
        </w:rPr>
      </w:pPr>
      <w:r w:rsidRPr="00354EFC">
        <w:rPr>
          <w:rFonts w:ascii="Gill Sans MT" w:hAnsi="Gill Sans MT"/>
          <w:bCs/>
          <w:szCs w:val="24"/>
        </w:rPr>
        <w:t>For a planning authority that has been notified by the Minister of a request in relation to a</w:t>
      </w:r>
      <w:r w:rsidRPr="00354EFC">
        <w:rPr>
          <w:sz w:val="28"/>
          <w:szCs w:val="28"/>
        </w:rPr>
        <w:t xml:space="preserve"> </w:t>
      </w:r>
      <w:r w:rsidRPr="00354EFC">
        <w:rPr>
          <w:rFonts w:ascii="Gill Sans MT" w:hAnsi="Gill Sans MT"/>
          <w:bCs/>
          <w:szCs w:val="24"/>
        </w:rPr>
        <w:t>project</w:t>
      </w:r>
      <w:r w:rsidR="00D1398D" w:rsidRPr="00354EFC">
        <w:rPr>
          <w:rFonts w:ascii="Gill Sans MT" w:hAnsi="Gill Sans MT"/>
          <w:bCs/>
          <w:szCs w:val="24"/>
        </w:rPr>
        <w:t>,</w:t>
      </w:r>
      <w:r w:rsidRPr="00354EFC">
        <w:rPr>
          <w:rFonts w:ascii="Gill Sans MT" w:hAnsi="Gill Sans MT"/>
          <w:bCs/>
          <w:szCs w:val="24"/>
        </w:rPr>
        <w:t xml:space="preserve"> </w:t>
      </w:r>
      <w:r w:rsidR="00D45FB0">
        <w:rPr>
          <w:rFonts w:ascii="Gill Sans MT" w:hAnsi="Gill Sans MT"/>
          <w:bCs/>
          <w:szCs w:val="24"/>
        </w:rPr>
        <w:t>it</w:t>
      </w:r>
      <w:r w:rsidR="008F33C2" w:rsidRPr="00354EFC">
        <w:rPr>
          <w:rFonts w:ascii="Gill Sans MT" w:hAnsi="Gill Sans MT"/>
          <w:bCs/>
          <w:szCs w:val="24"/>
        </w:rPr>
        <w:t xml:space="preserve"> </w:t>
      </w:r>
      <w:r w:rsidRPr="00354EFC">
        <w:rPr>
          <w:rFonts w:ascii="Gill Sans MT" w:hAnsi="Gill Sans MT"/>
          <w:bCs/>
          <w:szCs w:val="24"/>
        </w:rPr>
        <w:t>may advise</w:t>
      </w:r>
      <w:r w:rsidR="007727F7" w:rsidRPr="00354EFC">
        <w:rPr>
          <w:rFonts w:ascii="Gill Sans MT" w:hAnsi="Gill Sans MT"/>
          <w:bCs/>
          <w:szCs w:val="24"/>
        </w:rPr>
        <w:t xml:space="preserve"> the Minister whether </w:t>
      </w:r>
      <w:r w:rsidR="0019057D">
        <w:rPr>
          <w:rFonts w:ascii="Gill Sans MT" w:hAnsi="Gill Sans MT"/>
          <w:bCs/>
          <w:szCs w:val="24"/>
        </w:rPr>
        <w:t>it</w:t>
      </w:r>
      <w:r w:rsidR="00CE6111" w:rsidRPr="00354EFC">
        <w:rPr>
          <w:rFonts w:ascii="Gill Sans MT" w:hAnsi="Gill Sans MT"/>
          <w:bCs/>
          <w:szCs w:val="24"/>
        </w:rPr>
        <w:t xml:space="preserve"> </w:t>
      </w:r>
      <w:r w:rsidR="00CA73F5">
        <w:rPr>
          <w:rFonts w:ascii="Gill Sans MT" w:hAnsi="Gill Sans MT"/>
          <w:bCs/>
          <w:szCs w:val="24"/>
        </w:rPr>
        <w:t>is</w:t>
      </w:r>
      <w:r w:rsidR="007727F7" w:rsidRPr="00354EFC">
        <w:rPr>
          <w:rFonts w:ascii="Gill Sans MT" w:hAnsi="Gill Sans MT"/>
          <w:bCs/>
          <w:szCs w:val="24"/>
        </w:rPr>
        <w:t xml:space="preserve"> of the opinion that </w:t>
      </w:r>
      <w:r w:rsidR="00CE6111" w:rsidRPr="00354EFC">
        <w:rPr>
          <w:rFonts w:ascii="Gill Sans MT" w:hAnsi="Gill Sans MT"/>
          <w:bCs/>
          <w:szCs w:val="24"/>
        </w:rPr>
        <w:t>a</w:t>
      </w:r>
      <w:r w:rsidR="007727F7" w:rsidRPr="00354EFC">
        <w:rPr>
          <w:rFonts w:ascii="Gill Sans MT" w:hAnsi="Gill Sans MT"/>
          <w:bCs/>
          <w:szCs w:val="24"/>
        </w:rPr>
        <w:t xml:space="preserve"> project is eligible to be declared major project and the reasons why the</w:t>
      </w:r>
      <w:r w:rsidR="00CE6111" w:rsidRPr="00354EFC">
        <w:rPr>
          <w:rFonts w:ascii="Gill Sans MT" w:hAnsi="Gill Sans MT"/>
          <w:bCs/>
          <w:szCs w:val="24"/>
        </w:rPr>
        <w:t>y</w:t>
      </w:r>
      <w:r w:rsidR="00554A87" w:rsidRPr="00354EFC">
        <w:rPr>
          <w:rFonts w:ascii="Gill Sans MT" w:hAnsi="Gill Sans MT"/>
          <w:bCs/>
          <w:szCs w:val="24"/>
        </w:rPr>
        <w:t xml:space="preserve"> </w:t>
      </w:r>
      <w:r w:rsidR="00CE6111" w:rsidRPr="00354EFC">
        <w:rPr>
          <w:rFonts w:ascii="Gill Sans MT" w:hAnsi="Gill Sans MT"/>
          <w:bCs/>
          <w:szCs w:val="24"/>
        </w:rPr>
        <w:t>are</w:t>
      </w:r>
      <w:r w:rsidR="00554A87" w:rsidRPr="00354EFC">
        <w:rPr>
          <w:rFonts w:ascii="Gill Sans MT" w:hAnsi="Gill Sans MT"/>
          <w:bCs/>
          <w:szCs w:val="24"/>
        </w:rPr>
        <w:t xml:space="preserve"> of that opinion;</w:t>
      </w:r>
    </w:p>
    <w:p w14:paraId="5CCAE772" w14:textId="3BBA6F1D" w:rsidR="007727F7" w:rsidRPr="00354EFC" w:rsidRDefault="007727F7" w:rsidP="007727F7">
      <w:pPr>
        <w:pStyle w:val="ListParagraph"/>
        <w:numPr>
          <w:ilvl w:val="0"/>
          <w:numId w:val="38"/>
        </w:numPr>
        <w:spacing w:after="0"/>
        <w:ind w:left="714" w:hanging="357"/>
        <w:contextualSpacing w:val="0"/>
        <w:rPr>
          <w:rFonts w:ascii="Gill Sans MT" w:hAnsi="Gill Sans MT"/>
          <w:bCs/>
          <w:szCs w:val="24"/>
        </w:rPr>
      </w:pPr>
      <w:r w:rsidRPr="00354EFC">
        <w:rPr>
          <w:rFonts w:ascii="Gill Sans MT" w:hAnsi="Gill Sans MT"/>
          <w:bCs/>
          <w:szCs w:val="24"/>
        </w:rPr>
        <w:t xml:space="preserve">Providing additional information to the Minister if it is reasonably necessary to enable the Minister to determine whether to declare </w:t>
      </w:r>
      <w:r w:rsidR="00554A87" w:rsidRPr="00354EFC">
        <w:rPr>
          <w:rFonts w:ascii="Gill Sans MT" w:hAnsi="Gill Sans MT"/>
          <w:bCs/>
          <w:szCs w:val="24"/>
        </w:rPr>
        <w:t>a project to be a major project;</w:t>
      </w:r>
    </w:p>
    <w:p w14:paraId="4C4C772A" w14:textId="41D65A2D" w:rsidR="007727F7" w:rsidRPr="00354EFC" w:rsidRDefault="007727F7" w:rsidP="007727F7">
      <w:pPr>
        <w:pStyle w:val="ListParagraph"/>
        <w:numPr>
          <w:ilvl w:val="0"/>
          <w:numId w:val="38"/>
        </w:numPr>
        <w:spacing w:after="0"/>
        <w:ind w:left="714" w:hanging="357"/>
        <w:contextualSpacing w:val="0"/>
        <w:rPr>
          <w:rFonts w:ascii="Gill Sans MT" w:hAnsi="Gill Sans MT"/>
          <w:bCs/>
          <w:szCs w:val="24"/>
        </w:rPr>
      </w:pPr>
      <w:r w:rsidRPr="00354EFC">
        <w:rPr>
          <w:rFonts w:ascii="Gill Sans MT" w:hAnsi="Gill Sans MT"/>
          <w:bCs/>
          <w:szCs w:val="24"/>
        </w:rPr>
        <w:t xml:space="preserve">Providing landowner consent where all of part of the land is owned by a </w:t>
      </w:r>
      <w:r w:rsidR="00554A87" w:rsidRPr="00354EFC">
        <w:rPr>
          <w:rFonts w:ascii="Gill Sans MT" w:hAnsi="Gill Sans MT"/>
          <w:bCs/>
          <w:szCs w:val="24"/>
        </w:rPr>
        <w:t xml:space="preserve">local </w:t>
      </w:r>
      <w:r w:rsidRPr="00354EFC">
        <w:rPr>
          <w:rFonts w:ascii="Gill Sans MT" w:hAnsi="Gill Sans MT"/>
          <w:bCs/>
          <w:szCs w:val="24"/>
        </w:rPr>
        <w:t>council</w:t>
      </w:r>
      <w:r w:rsidR="00554A87" w:rsidRPr="00354EFC">
        <w:rPr>
          <w:rFonts w:ascii="Gill Sans MT" w:hAnsi="Gill Sans MT"/>
          <w:bCs/>
          <w:szCs w:val="24"/>
        </w:rPr>
        <w:t>;</w:t>
      </w:r>
    </w:p>
    <w:p w14:paraId="0EA2248F" w14:textId="641BF6B3" w:rsidR="00843B82" w:rsidRPr="00354EFC" w:rsidRDefault="00843B82" w:rsidP="00843B82">
      <w:pPr>
        <w:pStyle w:val="ListParagraph"/>
        <w:numPr>
          <w:ilvl w:val="0"/>
          <w:numId w:val="38"/>
        </w:numPr>
        <w:spacing w:after="0"/>
        <w:ind w:left="714" w:hanging="357"/>
        <w:contextualSpacing w:val="0"/>
        <w:rPr>
          <w:rFonts w:ascii="Gill Sans MT" w:hAnsi="Gill Sans MT"/>
          <w:bCs/>
          <w:szCs w:val="24"/>
        </w:rPr>
      </w:pPr>
      <w:r w:rsidRPr="00354EFC">
        <w:rPr>
          <w:rFonts w:ascii="Gill Sans MT" w:hAnsi="Gill Sans MT"/>
          <w:bCs/>
          <w:szCs w:val="24"/>
        </w:rPr>
        <w:lastRenderedPageBreak/>
        <w:t>Nominating a person who is able to represent the local councils</w:t>
      </w:r>
      <w:r w:rsidRPr="00354EFC">
        <w:rPr>
          <w:rFonts w:ascii="Gill Sans MT" w:hAnsi="Gill Sans MT"/>
          <w:b/>
          <w:bCs/>
          <w:szCs w:val="24"/>
        </w:rPr>
        <w:t xml:space="preserve"> </w:t>
      </w:r>
      <w:r w:rsidRPr="00354EFC">
        <w:rPr>
          <w:rFonts w:ascii="Gill Sans MT" w:hAnsi="Gill Sans MT"/>
          <w:bCs/>
          <w:szCs w:val="24"/>
        </w:rPr>
        <w:t>for the municipal area</w:t>
      </w:r>
      <w:r w:rsidR="00E36F8F">
        <w:rPr>
          <w:rFonts w:ascii="Gill Sans MT" w:hAnsi="Gill Sans MT"/>
          <w:bCs/>
          <w:szCs w:val="24"/>
        </w:rPr>
        <w:t>(</w:t>
      </w:r>
      <w:r w:rsidRPr="00354EFC">
        <w:rPr>
          <w:rFonts w:ascii="Gill Sans MT" w:hAnsi="Gill Sans MT"/>
          <w:bCs/>
          <w:szCs w:val="24"/>
        </w:rPr>
        <w:t>s</w:t>
      </w:r>
      <w:r w:rsidR="00E36F8F">
        <w:rPr>
          <w:rFonts w:ascii="Gill Sans MT" w:hAnsi="Gill Sans MT"/>
          <w:bCs/>
          <w:szCs w:val="24"/>
        </w:rPr>
        <w:t>)</w:t>
      </w:r>
      <w:r w:rsidRPr="00354EFC">
        <w:rPr>
          <w:rFonts w:ascii="Gill Sans MT" w:hAnsi="Gill Sans MT"/>
          <w:bCs/>
          <w:szCs w:val="24"/>
        </w:rPr>
        <w:t xml:space="preserve"> where the major project is to take place to be a member on the </w:t>
      </w:r>
      <w:r w:rsidR="006C1129" w:rsidRPr="00354EFC">
        <w:rPr>
          <w:rFonts w:ascii="Gill Sans MT" w:hAnsi="Gill Sans MT"/>
          <w:bCs/>
          <w:szCs w:val="24"/>
        </w:rPr>
        <w:t>Panel</w:t>
      </w:r>
      <w:r w:rsidRPr="00354EFC">
        <w:rPr>
          <w:rFonts w:ascii="Gill Sans MT" w:hAnsi="Gill Sans MT"/>
          <w:bCs/>
          <w:szCs w:val="24"/>
        </w:rPr>
        <w:t xml:space="preserve">; </w:t>
      </w:r>
    </w:p>
    <w:p w14:paraId="7405E30E" w14:textId="5317D7CF" w:rsidR="00554A87" w:rsidRPr="00354EFC" w:rsidRDefault="00554A87" w:rsidP="00554A87">
      <w:pPr>
        <w:pStyle w:val="ListParagraph"/>
        <w:numPr>
          <w:ilvl w:val="0"/>
          <w:numId w:val="38"/>
        </w:numPr>
        <w:spacing w:after="0"/>
        <w:ind w:left="714" w:hanging="357"/>
        <w:contextualSpacing w:val="0"/>
        <w:rPr>
          <w:rFonts w:ascii="Gill Sans MT" w:hAnsi="Gill Sans MT"/>
          <w:bCs/>
          <w:szCs w:val="24"/>
        </w:rPr>
      </w:pPr>
      <w:r w:rsidRPr="00354EFC">
        <w:rPr>
          <w:rFonts w:ascii="Gill Sans MT" w:hAnsi="Gill Sans MT"/>
          <w:bCs/>
          <w:szCs w:val="24"/>
        </w:rPr>
        <w:t>Providing the Panel with additional information to assist in determining whether a Major Project Impact Statement is suitable for public exhibition;</w:t>
      </w:r>
      <w:r w:rsidR="00AA3593" w:rsidRPr="00354EFC">
        <w:rPr>
          <w:rFonts w:ascii="Gill Sans MT" w:hAnsi="Gill Sans MT"/>
          <w:bCs/>
          <w:szCs w:val="24"/>
        </w:rPr>
        <w:t xml:space="preserve"> </w:t>
      </w:r>
    </w:p>
    <w:p w14:paraId="2D94ACE4" w14:textId="351A6653" w:rsidR="00EA4DBA" w:rsidRPr="00354EFC" w:rsidRDefault="00EA4DBA" w:rsidP="00554A87">
      <w:pPr>
        <w:pStyle w:val="ListParagraph"/>
        <w:numPr>
          <w:ilvl w:val="0"/>
          <w:numId w:val="38"/>
        </w:numPr>
        <w:spacing w:after="0"/>
        <w:ind w:left="714" w:hanging="357"/>
        <w:contextualSpacing w:val="0"/>
        <w:rPr>
          <w:rFonts w:ascii="Gill Sans MT" w:hAnsi="Gill Sans MT"/>
          <w:bCs/>
          <w:szCs w:val="24"/>
        </w:rPr>
      </w:pPr>
      <w:r w:rsidRPr="00354EFC">
        <w:rPr>
          <w:rFonts w:ascii="Gill Sans MT" w:hAnsi="Gill Sans MT"/>
          <w:bCs/>
          <w:szCs w:val="24"/>
        </w:rPr>
        <w:t xml:space="preserve">Assisting the Panel in the public exhibition of the </w:t>
      </w:r>
      <w:r w:rsidR="00843B82" w:rsidRPr="00354EFC">
        <w:rPr>
          <w:rFonts w:ascii="Gill Sans MT" w:hAnsi="Gill Sans MT"/>
          <w:bCs/>
          <w:szCs w:val="24"/>
        </w:rPr>
        <w:t>Assessment Guidelines, M</w:t>
      </w:r>
      <w:r w:rsidR="00AA3593" w:rsidRPr="00354EFC">
        <w:rPr>
          <w:rFonts w:ascii="Gill Sans MT" w:hAnsi="Gill Sans MT"/>
          <w:bCs/>
          <w:szCs w:val="24"/>
        </w:rPr>
        <w:t xml:space="preserve">ajor Project Impact Statement and </w:t>
      </w:r>
      <w:r w:rsidR="00843B82" w:rsidRPr="00354EFC">
        <w:rPr>
          <w:rFonts w:ascii="Gill Sans MT" w:hAnsi="Gill Sans MT"/>
          <w:bCs/>
          <w:szCs w:val="24"/>
        </w:rPr>
        <w:t>draft Assessment Report</w:t>
      </w:r>
      <w:r w:rsidR="00D85872" w:rsidRPr="00354EFC">
        <w:rPr>
          <w:rFonts w:ascii="Gill Sans MT" w:hAnsi="Gill Sans MT"/>
          <w:bCs/>
          <w:szCs w:val="24"/>
        </w:rPr>
        <w:t>; and</w:t>
      </w:r>
    </w:p>
    <w:p w14:paraId="50D45990" w14:textId="3EAD15D7" w:rsidR="00D1398D" w:rsidRPr="00354EFC" w:rsidRDefault="00D1398D" w:rsidP="00D1398D">
      <w:pPr>
        <w:pStyle w:val="ListParagraph"/>
        <w:numPr>
          <w:ilvl w:val="0"/>
          <w:numId w:val="38"/>
        </w:numPr>
        <w:spacing w:after="0"/>
        <w:ind w:left="714" w:hanging="357"/>
        <w:contextualSpacing w:val="0"/>
        <w:rPr>
          <w:rFonts w:ascii="Gill Sans MT" w:hAnsi="Gill Sans MT"/>
          <w:bCs/>
          <w:szCs w:val="24"/>
        </w:rPr>
      </w:pPr>
      <w:r w:rsidRPr="00354EFC">
        <w:rPr>
          <w:rFonts w:ascii="Gill Sans MT" w:hAnsi="Gill Sans MT"/>
          <w:bCs/>
          <w:szCs w:val="24"/>
        </w:rPr>
        <w:t>Where a Major Project Permit has commenced, requesting minor permit amendments or providing comment and advice to the Panel or Commission on minor permit amendments.</w:t>
      </w:r>
    </w:p>
    <w:p w14:paraId="17E62F00" w14:textId="2F151F57" w:rsidR="00E546DF" w:rsidRDefault="00E546DF" w:rsidP="00E546DF">
      <w:pPr>
        <w:pStyle w:val="Heading2"/>
      </w:pPr>
      <w:r w:rsidRPr="00E546DF">
        <w:t>Role of the Commonwealth</w:t>
      </w:r>
    </w:p>
    <w:p w14:paraId="2C7237B1" w14:textId="3C9268E0" w:rsidR="00E70364" w:rsidRPr="001113FB" w:rsidRDefault="00E70364" w:rsidP="00E70364">
      <w:pPr>
        <w:spacing w:after="120"/>
        <w:rPr>
          <w:rFonts w:ascii="Gill Sans MT" w:hAnsi="Gill Sans MT"/>
          <w:bCs/>
          <w:szCs w:val="24"/>
        </w:rPr>
      </w:pPr>
      <w:r w:rsidRPr="001113FB">
        <w:rPr>
          <w:rFonts w:ascii="Gill Sans MT" w:hAnsi="Gill Sans MT"/>
          <w:bCs/>
          <w:szCs w:val="24"/>
        </w:rPr>
        <w:t xml:space="preserve">The current Projects of Regional Significance (PORS) process is an accredited process under the Commonwealth-State Bilateral Agreement on Environmental Assessments made under the EPBC Act. This means that where a project involves activities that are likely to have a significant impact on a </w:t>
      </w:r>
      <w:r w:rsidR="0025111B" w:rsidRPr="001113FB">
        <w:rPr>
          <w:rFonts w:ascii="Gill Sans MT" w:hAnsi="Gill Sans MT"/>
          <w:bCs/>
          <w:szCs w:val="24"/>
        </w:rPr>
        <w:t>matter of national environmental significance</w:t>
      </w:r>
      <w:r w:rsidRPr="001113FB">
        <w:rPr>
          <w:rFonts w:ascii="Gill Sans MT" w:hAnsi="Gill Sans MT"/>
          <w:bCs/>
          <w:szCs w:val="24"/>
        </w:rPr>
        <w:t xml:space="preserve">, the proponent can opt to have the Commonwealth assessment </w:t>
      </w:r>
      <w:r w:rsidR="0025111B" w:rsidRPr="001113FB">
        <w:rPr>
          <w:rFonts w:ascii="Gill Sans MT" w:hAnsi="Gill Sans MT"/>
          <w:bCs/>
          <w:szCs w:val="24"/>
        </w:rPr>
        <w:t xml:space="preserve">under the EPBC Act </w:t>
      </w:r>
      <w:r w:rsidRPr="001113FB">
        <w:rPr>
          <w:rFonts w:ascii="Gill Sans MT" w:hAnsi="Gill Sans MT"/>
          <w:bCs/>
          <w:szCs w:val="24"/>
        </w:rPr>
        <w:t>integrated i</w:t>
      </w:r>
      <w:r w:rsidR="0025111B" w:rsidRPr="001113FB">
        <w:rPr>
          <w:rFonts w:ascii="Gill Sans MT" w:hAnsi="Gill Sans MT"/>
          <w:bCs/>
          <w:szCs w:val="24"/>
        </w:rPr>
        <w:t>nto and coordinated through the Tasmanian</w:t>
      </w:r>
      <w:r w:rsidRPr="001113FB">
        <w:rPr>
          <w:rFonts w:ascii="Gill Sans MT" w:hAnsi="Gill Sans MT"/>
          <w:bCs/>
          <w:szCs w:val="24"/>
        </w:rPr>
        <w:t xml:space="preserve"> assessment process.</w:t>
      </w:r>
    </w:p>
    <w:p w14:paraId="5F9A624C" w14:textId="08D29B04" w:rsidR="00E70364" w:rsidRPr="001113FB" w:rsidRDefault="00E70364" w:rsidP="00E70364">
      <w:pPr>
        <w:spacing w:after="120"/>
        <w:rPr>
          <w:rFonts w:ascii="Gill Sans MT" w:hAnsi="Gill Sans MT"/>
          <w:bCs/>
          <w:szCs w:val="24"/>
        </w:rPr>
      </w:pPr>
      <w:r w:rsidRPr="001113FB">
        <w:rPr>
          <w:rFonts w:ascii="Gill Sans MT" w:hAnsi="Gill Sans MT"/>
          <w:bCs/>
          <w:szCs w:val="24"/>
        </w:rPr>
        <w:t xml:space="preserve">The major projects assessment process retains the PORS approach. The Commonwealth Minister’s requirements in relation to a major project </w:t>
      </w:r>
      <w:r w:rsidR="0009340F" w:rsidRPr="001113FB">
        <w:rPr>
          <w:rFonts w:ascii="Gill Sans MT" w:hAnsi="Gill Sans MT"/>
          <w:bCs/>
          <w:szCs w:val="24"/>
        </w:rPr>
        <w:t>can be</w:t>
      </w:r>
      <w:r w:rsidRPr="001113FB">
        <w:rPr>
          <w:rFonts w:ascii="Gill Sans MT" w:hAnsi="Gill Sans MT"/>
          <w:bCs/>
          <w:szCs w:val="24"/>
        </w:rPr>
        <w:t xml:space="preserve"> incorporated into the Assessment Guidelines and met through the </w:t>
      </w:r>
      <w:r w:rsidR="0009340F" w:rsidRPr="001113FB">
        <w:rPr>
          <w:rFonts w:ascii="Gill Sans MT" w:hAnsi="Gill Sans MT"/>
          <w:bCs/>
          <w:szCs w:val="24"/>
        </w:rPr>
        <w:t xml:space="preserve">major projects </w:t>
      </w:r>
      <w:r w:rsidRPr="001113FB">
        <w:rPr>
          <w:rFonts w:ascii="Gill Sans MT" w:hAnsi="Gill Sans MT"/>
          <w:bCs/>
          <w:szCs w:val="24"/>
        </w:rPr>
        <w:t>assessment process.</w:t>
      </w:r>
    </w:p>
    <w:p w14:paraId="43C6F7C4" w14:textId="3E2B8497" w:rsidR="00E70364" w:rsidRPr="001113FB" w:rsidRDefault="00E70364" w:rsidP="00E70364">
      <w:pPr>
        <w:spacing w:after="120"/>
        <w:rPr>
          <w:rFonts w:ascii="Gill Sans MT" w:hAnsi="Gill Sans MT"/>
          <w:bCs/>
          <w:szCs w:val="24"/>
        </w:rPr>
      </w:pPr>
      <w:r w:rsidRPr="001113FB">
        <w:rPr>
          <w:rFonts w:ascii="Gill Sans MT" w:hAnsi="Gill Sans MT"/>
          <w:bCs/>
          <w:szCs w:val="24"/>
        </w:rPr>
        <w:t xml:space="preserve">It is intended to ensure that the major projects assessment process is accredited under the Bilateral Agreement. This will be formalised once the Tasmanian Parliament </w:t>
      </w:r>
      <w:r w:rsidR="00354EFC" w:rsidRPr="001113FB">
        <w:rPr>
          <w:rFonts w:ascii="Gill Sans MT" w:hAnsi="Gill Sans MT"/>
          <w:bCs/>
          <w:szCs w:val="24"/>
        </w:rPr>
        <w:t>has passed</w:t>
      </w:r>
      <w:r w:rsidRPr="001113FB">
        <w:rPr>
          <w:rFonts w:ascii="Gill Sans MT" w:hAnsi="Gill Sans MT"/>
          <w:bCs/>
          <w:szCs w:val="24"/>
        </w:rPr>
        <w:t xml:space="preserve"> the final Bill.</w:t>
      </w:r>
    </w:p>
    <w:p w14:paraId="748B6363" w14:textId="77777777" w:rsidR="00371572" w:rsidRDefault="00371572" w:rsidP="009A4570">
      <w:pPr>
        <w:pStyle w:val="Heading2"/>
      </w:pPr>
      <w:r>
        <w:t xml:space="preserve">Role of the </w:t>
      </w:r>
      <w:r w:rsidR="00CB1709">
        <w:t xml:space="preserve">Office of the </w:t>
      </w:r>
      <w:r>
        <w:t>Co</w:t>
      </w:r>
      <w:r w:rsidR="00CB1709">
        <w:t>ordinator-General</w:t>
      </w:r>
    </w:p>
    <w:p w14:paraId="438F813C" w14:textId="734687ED" w:rsidR="002D4E4B" w:rsidRDefault="009025FA" w:rsidP="00D65677">
      <w:pPr>
        <w:spacing w:after="120"/>
        <w:rPr>
          <w:rFonts w:ascii="Gill Sans MT" w:hAnsi="Gill Sans MT"/>
          <w:bCs/>
          <w:szCs w:val="24"/>
        </w:rPr>
      </w:pPr>
      <w:r>
        <w:rPr>
          <w:rFonts w:ascii="Gill Sans MT" w:hAnsi="Gill Sans MT"/>
          <w:bCs/>
          <w:szCs w:val="24"/>
        </w:rPr>
        <w:t>Consistent with the Office</w:t>
      </w:r>
      <w:r w:rsidR="00B31586">
        <w:rPr>
          <w:rFonts w:ascii="Gill Sans MT" w:hAnsi="Gill Sans MT"/>
          <w:bCs/>
          <w:szCs w:val="24"/>
        </w:rPr>
        <w:t xml:space="preserve"> of the Coordinator-General</w:t>
      </w:r>
      <w:r>
        <w:rPr>
          <w:rFonts w:ascii="Gill Sans MT" w:hAnsi="Gill Sans MT"/>
          <w:bCs/>
          <w:szCs w:val="24"/>
        </w:rPr>
        <w:t xml:space="preserve">’s major projects facilitation role, the Office will coordinate and facilitate advice and assistance to proponents to help them enter and navigate the major projects process. The </w:t>
      </w:r>
      <w:r w:rsidR="002A4CFA">
        <w:rPr>
          <w:rFonts w:ascii="Gill Sans MT" w:hAnsi="Gill Sans MT"/>
          <w:bCs/>
          <w:szCs w:val="24"/>
        </w:rPr>
        <w:t xml:space="preserve">Office of the </w:t>
      </w:r>
      <w:r>
        <w:rPr>
          <w:rFonts w:ascii="Gill Sans MT" w:hAnsi="Gill Sans MT"/>
          <w:bCs/>
          <w:szCs w:val="24"/>
        </w:rPr>
        <w:t xml:space="preserve">Coordinator-General has no role in the </w:t>
      </w:r>
      <w:r w:rsidR="00130D93">
        <w:rPr>
          <w:rFonts w:ascii="Gill Sans MT" w:hAnsi="Gill Sans MT"/>
          <w:bCs/>
          <w:szCs w:val="24"/>
        </w:rPr>
        <w:t xml:space="preserve">major projects </w:t>
      </w:r>
      <w:r>
        <w:rPr>
          <w:rFonts w:ascii="Gill Sans MT" w:hAnsi="Gill Sans MT"/>
          <w:bCs/>
          <w:szCs w:val="24"/>
        </w:rPr>
        <w:t>assessment and approval decision-making process.</w:t>
      </w:r>
    </w:p>
    <w:p w14:paraId="0EF13A68" w14:textId="77777777" w:rsidR="00A22B2F" w:rsidRDefault="00A22B2F" w:rsidP="00A22B2F">
      <w:pPr>
        <w:pStyle w:val="Heading2"/>
      </w:pPr>
      <w:r>
        <w:t>What consultation has there been so far?</w:t>
      </w:r>
    </w:p>
    <w:p w14:paraId="575A6273" w14:textId="77777777" w:rsidR="00A22B2F" w:rsidRDefault="00A22B2F" w:rsidP="00A22B2F">
      <w:pPr>
        <w:spacing w:after="120"/>
        <w:rPr>
          <w:rFonts w:ascii="Gill Sans MT" w:hAnsi="Gill Sans MT"/>
          <w:bCs/>
          <w:szCs w:val="24"/>
        </w:rPr>
      </w:pPr>
      <w:r>
        <w:rPr>
          <w:rFonts w:ascii="Gill Sans MT" w:hAnsi="Gill Sans MT"/>
          <w:bCs/>
          <w:szCs w:val="24"/>
        </w:rPr>
        <w:t>The draft Bill has been developed in consultation with the Planning Reform Taskforce and key State Government agencies. The Commonwealth Department of the Environment and Energy has also been consulted on the proposal to seek accreditation of the new process under the Bilateral Agreement between Tasmania and the Commonwealth on environmental assessments under the EPBC Act.</w:t>
      </w:r>
    </w:p>
    <w:p w14:paraId="417FB83C" w14:textId="77777777" w:rsidR="00A22B2F" w:rsidRDefault="00A22B2F" w:rsidP="00A22B2F">
      <w:pPr>
        <w:spacing w:after="120"/>
        <w:rPr>
          <w:rFonts w:ascii="Gill Sans MT" w:hAnsi="Gill Sans MT"/>
          <w:bCs/>
          <w:szCs w:val="24"/>
        </w:rPr>
      </w:pPr>
      <w:r>
        <w:rPr>
          <w:rFonts w:ascii="Gill Sans MT" w:hAnsi="Gill Sans MT"/>
          <w:bCs/>
          <w:szCs w:val="24"/>
        </w:rPr>
        <w:lastRenderedPageBreak/>
        <w:t>The first period for comment on the draft Bill closed on 2 October 2017 and 198 submissions were received. The submissions raised a number of issues that have been considered by the Government in preparing this revised draft Bill.</w:t>
      </w:r>
    </w:p>
    <w:p w14:paraId="5BCBA332" w14:textId="77777777" w:rsidR="00A22B2F" w:rsidRDefault="00A22B2F" w:rsidP="00A22B2F">
      <w:pPr>
        <w:pStyle w:val="Heading2"/>
      </w:pPr>
      <w:r>
        <w:t>Where do I find the revised draft Bill?</w:t>
      </w:r>
    </w:p>
    <w:p w14:paraId="2E40A75B" w14:textId="77777777" w:rsidR="00A22B2F" w:rsidRDefault="00A22B2F" w:rsidP="00A22B2F">
      <w:pPr>
        <w:spacing w:after="0"/>
        <w:rPr>
          <w:rFonts w:ascii="Gill Sans MT" w:hAnsi="Gill Sans MT"/>
        </w:rPr>
      </w:pPr>
      <w:r>
        <w:rPr>
          <w:rFonts w:ascii="Gill Sans MT" w:hAnsi="Gill Sans MT"/>
          <w:bCs/>
          <w:szCs w:val="24"/>
        </w:rPr>
        <w:t xml:space="preserve">A copy of the revised draft Bill, a second Consultation Paper and the accompanying seven Fact Sheets are available at </w:t>
      </w:r>
      <w:hyperlink r:id="rId10" w:history="1">
        <w:r w:rsidRPr="00A22B2F">
          <w:rPr>
            <w:rStyle w:val="Hyperlink"/>
            <w:rFonts w:ascii="Gill Sans MT" w:hAnsi="Gill Sans MT"/>
            <w:bCs/>
            <w:szCs w:val="24"/>
          </w:rPr>
          <w:t>www.planningreform.tas.gov.au</w:t>
        </w:r>
      </w:hyperlink>
      <w:r>
        <w:rPr>
          <w:rFonts w:ascii="Gill Sans MT" w:hAnsi="Gill Sans MT"/>
          <w:bCs/>
          <w:szCs w:val="24"/>
        </w:rPr>
        <w:t xml:space="preserve"> or at </w:t>
      </w:r>
      <w:hyperlink r:id="rId11" w:history="1">
        <w:r w:rsidRPr="00A22B2F">
          <w:rPr>
            <w:rStyle w:val="Hyperlink"/>
            <w:rFonts w:ascii="Gill Sans MT" w:hAnsi="Gill Sans MT"/>
            <w:bCs/>
            <w:szCs w:val="24"/>
          </w:rPr>
          <w:t>www.justice.tas.gov.au</w:t>
        </w:r>
      </w:hyperlink>
      <w:r w:rsidRPr="00A22B2F">
        <w:rPr>
          <w:rFonts w:ascii="Gill Sans MT" w:hAnsi="Gill Sans MT"/>
        </w:rPr>
        <w:t>.</w:t>
      </w:r>
    </w:p>
    <w:p w14:paraId="0A4DAAF9" w14:textId="77777777" w:rsidR="00C76C47" w:rsidRDefault="00C76C47" w:rsidP="00C76C47">
      <w:pPr>
        <w:pStyle w:val="Heading2"/>
      </w:pPr>
      <w:r>
        <w:t>How can I comment?</w:t>
      </w:r>
    </w:p>
    <w:p w14:paraId="60A4D55E" w14:textId="77777777" w:rsidR="00C76C47" w:rsidRDefault="00C76C47" w:rsidP="00C76C47">
      <w:pPr>
        <w:spacing w:after="120"/>
        <w:rPr>
          <w:rFonts w:ascii="Gill Sans MT" w:hAnsi="Gill Sans MT"/>
          <w:bCs/>
          <w:szCs w:val="24"/>
        </w:rPr>
      </w:pPr>
      <w:r>
        <w:rPr>
          <w:rFonts w:ascii="Gill Sans MT" w:hAnsi="Gill Sans MT"/>
          <w:bCs/>
          <w:szCs w:val="24"/>
        </w:rPr>
        <w:t>Comment on the proposed changes to the draft Bill are invited by</w:t>
      </w:r>
      <w:r>
        <w:rPr>
          <w:rFonts w:ascii="Gill Sans MT" w:hAnsi="Gill Sans MT"/>
          <w:b/>
          <w:bCs/>
          <w:szCs w:val="24"/>
        </w:rPr>
        <w:t xml:space="preserve"> </w:t>
      </w:r>
      <w:r>
        <w:rPr>
          <w:rFonts w:ascii="Gill Sans MT" w:hAnsi="Gill Sans MT"/>
          <w:b/>
        </w:rPr>
        <w:t>Monday, 29 January 2018</w:t>
      </w:r>
      <w:r>
        <w:rPr>
          <w:rFonts w:ascii="Gill Sans MT" w:hAnsi="Gill Sans MT"/>
          <w:bCs/>
          <w:szCs w:val="24"/>
        </w:rPr>
        <w:t xml:space="preserve">. Comments should be marked ‘Major Projects Reform’ and can be emailed to </w:t>
      </w:r>
      <w:hyperlink r:id="rId12" w:history="1">
        <w:r w:rsidRPr="00C76C47">
          <w:rPr>
            <w:rStyle w:val="Hyperlink"/>
            <w:rFonts w:ascii="Gill Sans MT" w:hAnsi="Gill Sans MT"/>
            <w:bCs/>
            <w:szCs w:val="24"/>
          </w:rPr>
          <w:t>Planning.Unit@justice.tas.gov.au</w:t>
        </w:r>
      </w:hyperlink>
      <w:r>
        <w:rPr>
          <w:rFonts w:ascii="Gill Sans MT" w:hAnsi="Gill Sans MT"/>
          <w:bCs/>
          <w:szCs w:val="24"/>
        </w:rPr>
        <w:t xml:space="preserve"> or posted to:</w:t>
      </w:r>
    </w:p>
    <w:p w14:paraId="2E9A58DB" w14:textId="77777777" w:rsidR="00C76C47" w:rsidRDefault="00C76C47" w:rsidP="00C76C47">
      <w:pPr>
        <w:spacing w:before="0" w:after="0"/>
        <w:ind w:left="720"/>
        <w:rPr>
          <w:rFonts w:ascii="Gill Sans MT" w:hAnsi="Gill Sans MT"/>
          <w:bCs/>
          <w:szCs w:val="24"/>
        </w:rPr>
      </w:pPr>
      <w:r>
        <w:rPr>
          <w:rFonts w:ascii="Gill Sans MT" w:hAnsi="Gill Sans MT"/>
          <w:bCs/>
          <w:szCs w:val="24"/>
        </w:rPr>
        <w:t>Planning Policy Unit</w:t>
      </w:r>
    </w:p>
    <w:p w14:paraId="724F9E00" w14:textId="77777777" w:rsidR="00C76C47" w:rsidRDefault="00C76C47" w:rsidP="00C76C47">
      <w:pPr>
        <w:spacing w:before="0" w:after="0"/>
        <w:ind w:left="720"/>
        <w:rPr>
          <w:rFonts w:ascii="Gill Sans MT" w:hAnsi="Gill Sans MT"/>
          <w:bCs/>
          <w:szCs w:val="24"/>
        </w:rPr>
      </w:pPr>
      <w:r>
        <w:rPr>
          <w:rFonts w:ascii="Gill Sans MT" w:hAnsi="Gill Sans MT"/>
          <w:bCs/>
          <w:szCs w:val="24"/>
        </w:rPr>
        <w:t xml:space="preserve">Department of Justice </w:t>
      </w:r>
    </w:p>
    <w:p w14:paraId="736D5B09" w14:textId="77777777" w:rsidR="00C76C47" w:rsidRDefault="00C76C47" w:rsidP="00C76C47">
      <w:pPr>
        <w:spacing w:before="0" w:after="0"/>
        <w:ind w:left="720"/>
        <w:rPr>
          <w:rFonts w:ascii="Gill Sans MT" w:hAnsi="Gill Sans MT"/>
          <w:bCs/>
          <w:szCs w:val="24"/>
        </w:rPr>
      </w:pPr>
      <w:r>
        <w:rPr>
          <w:rFonts w:ascii="Gill Sans MT" w:hAnsi="Gill Sans MT"/>
          <w:bCs/>
          <w:szCs w:val="24"/>
        </w:rPr>
        <w:t xml:space="preserve">GPO Box 825  </w:t>
      </w:r>
    </w:p>
    <w:p w14:paraId="454A5DFB" w14:textId="77777777" w:rsidR="00C76C47" w:rsidRDefault="00C76C47" w:rsidP="00C76C47">
      <w:pPr>
        <w:spacing w:before="0" w:after="120"/>
        <w:ind w:left="720"/>
        <w:rPr>
          <w:rFonts w:ascii="Gill Sans MT" w:hAnsi="Gill Sans MT"/>
          <w:bCs/>
          <w:szCs w:val="24"/>
        </w:rPr>
      </w:pPr>
      <w:r>
        <w:rPr>
          <w:rFonts w:ascii="Gill Sans MT" w:hAnsi="Gill Sans MT"/>
          <w:bCs/>
          <w:szCs w:val="24"/>
        </w:rPr>
        <w:t>HOBART  TAS  7001</w:t>
      </w:r>
    </w:p>
    <w:p w14:paraId="51044DCF" w14:textId="77777777" w:rsidR="00C76C47" w:rsidRDefault="00C76C47" w:rsidP="00C76C47">
      <w:pPr>
        <w:spacing w:after="120"/>
        <w:rPr>
          <w:rFonts w:ascii="Gill Sans MT" w:hAnsi="Gill Sans MT"/>
          <w:bCs/>
          <w:szCs w:val="24"/>
        </w:rPr>
      </w:pPr>
      <w:r>
        <w:rPr>
          <w:rFonts w:ascii="Gill Sans MT" w:hAnsi="Gill Sans MT"/>
          <w:bCs/>
          <w:szCs w:val="24"/>
        </w:rPr>
        <w:t>Further enquiries can be directed to the Planning Policy Unit at the above email address or by telephoning (03) 6166 1429.</w:t>
      </w:r>
    </w:p>
    <w:p w14:paraId="2D29E00F" w14:textId="77777777" w:rsidR="00C76C47" w:rsidRDefault="00C76C47" w:rsidP="00C76C47">
      <w:pPr>
        <w:spacing w:after="120"/>
        <w:rPr>
          <w:rFonts w:ascii="Gill Sans MT" w:hAnsi="Gill Sans MT"/>
          <w:bCs/>
          <w:szCs w:val="24"/>
        </w:rPr>
      </w:pPr>
    </w:p>
    <w:p w14:paraId="3A855B78" w14:textId="77777777" w:rsidR="00C76C47" w:rsidRDefault="00C76C47" w:rsidP="00C76C47">
      <w:pPr>
        <w:spacing w:after="120"/>
        <w:rPr>
          <w:rFonts w:ascii="Gill Sans MT" w:hAnsi="Gill Sans MT"/>
          <w:bCs/>
          <w:szCs w:val="24"/>
        </w:rPr>
      </w:pPr>
      <w:r>
        <w:rPr>
          <w:rFonts w:ascii="Gill Sans MT" w:hAnsi="Gill Sans MT"/>
          <w:bCs/>
          <w:szCs w:val="24"/>
        </w:rPr>
        <w:t>December 2017</w:t>
      </w:r>
    </w:p>
    <w:p w14:paraId="63DE6828" w14:textId="77777777" w:rsidR="00097FBB" w:rsidRPr="0066072A" w:rsidRDefault="00097FBB" w:rsidP="00D65677">
      <w:pPr>
        <w:spacing w:after="120"/>
        <w:rPr>
          <w:rFonts w:ascii="Gill Sans MT" w:hAnsi="Gill Sans MT"/>
          <w:bCs/>
          <w:szCs w:val="24"/>
        </w:rPr>
      </w:pPr>
    </w:p>
    <w:sectPr w:rsidR="00097FBB" w:rsidRPr="0066072A" w:rsidSect="006D0404">
      <w:headerReference w:type="even" r:id="rId13"/>
      <w:headerReference w:type="default" r:id="rId14"/>
      <w:footerReference w:type="default" r:id="rId15"/>
      <w:headerReference w:type="first" r:id="rId16"/>
      <w:type w:val="continuous"/>
      <w:pgSz w:w="11900" w:h="16840"/>
      <w:pgMar w:top="2694" w:right="985" w:bottom="1135" w:left="1418" w:header="709" w:footer="6" w:gutter="0"/>
      <w:cols w:num="2"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356819" w14:textId="77777777" w:rsidR="00DB3364" w:rsidRDefault="00DB3364">
      <w:pPr>
        <w:spacing w:before="0" w:after="0" w:line="240" w:lineRule="auto"/>
      </w:pPr>
      <w:r>
        <w:separator/>
      </w:r>
    </w:p>
  </w:endnote>
  <w:endnote w:type="continuationSeparator" w:id="0">
    <w:p w14:paraId="58484B6A" w14:textId="77777777" w:rsidR="00DB3364" w:rsidRDefault="00DB336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1002AFF" w:usb1="4000ACFF" w:usb2="00000009" w:usb3="00000000" w:csb0="000001FF" w:csb1="00000000"/>
  </w:font>
  <w:font w:name="Gill Sans Light">
    <w:altName w:val="Times New Roman"/>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19F" w:csb1="00000000"/>
  </w:font>
  <w:font w:name="Gill Sans">
    <w:altName w:val="GillSans Light"/>
    <w:charset w:val="00"/>
    <w:family w:val="auto"/>
    <w:pitch w:val="variable"/>
    <w:sig w:usb0="00000003" w:usb1="00000000" w:usb2="00000000" w:usb3="00000000" w:csb0="00000001" w:csb1="00000000"/>
  </w:font>
  <w:font w:name="GillSans">
    <w:altName w:val="Lucida Sans Unicode"/>
    <w:charset w:val="00"/>
    <w:family w:val="swiss"/>
    <w:pitch w:val="variable"/>
    <w:sig w:usb0="00000001"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8C52E" w14:textId="77777777" w:rsidR="000A5AB0" w:rsidRDefault="000A5AB0" w:rsidP="007427BF">
    <w:pPr>
      <w:pStyle w:val="Footer"/>
      <w:ind w:left="-567"/>
    </w:pPr>
    <w:r>
      <w:rPr>
        <w:noProof/>
        <w:lang w:eastAsia="en-AU"/>
      </w:rPr>
      <w:drawing>
        <wp:anchor distT="0" distB="0" distL="114300" distR="114300" simplePos="0" relativeHeight="251655680" behindDoc="0" locked="0" layoutInCell="1" allowOverlap="1" wp14:anchorId="515C3D18" wp14:editId="5AA0A440">
          <wp:simplePos x="0" y="0"/>
          <wp:positionH relativeFrom="column">
            <wp:posOffset>-798830</wp:posOffset>
          </wp:positionH>
          <wp:positionV relativeFrom="page">
            <wp:posOffset>9454515</wp:posOffset>
          </wp:positionV>
          <wp:extent cx="7366000" cy="393700"/>
          <wp:effectExtent l="0" t="0" r="6350" b="6350"/>
          <wp:wrapNone/>
          <wp:docPr id="9" name="Picture 9" descr="base w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se Wav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66000" cy="393700"/>
                  </a:xfrm>
                  <a:prstGeom prst="rect">
                    <a:avLst/>
                  </a:prstGeom>
                  <a:noFill/>
                </pic:spPr>
              </pic:pic>
            </a:graphicData>
          </a:graphic>
          <wp14:sizeRelH relativeFrom="page">
            <wp14:pctWidth>0</wp14:pctWidth>
          </wp14:sizeRelH>
          <wp14:sizeRelV relativeFrom="page">
            <wp14:pctHeight>0</wp14:pctHeight>
          </wp14:sizeRelV>
        </wp:anchor>
      </w:drawing>
    </w:r>
  </w:p>
  <w:p w14:paraId="38C1419D" w14:textId="77777777" w:rsidR="000A5AB0" w:rsidRDefault="000A5AB0" w:rsidP="007427BF">
    <w:pPr>
      <w:pStyle w:val="Footer"/>
      <w:ind w:left="-567"/>
    </w:pPr>
    <w:r>
      <w:rPr>
        <w:noProof/>
        <w:lang w:eastAsia="en-AU"/>
      </w:rPr>
      <w:drawing>
        <wp:anchor distT="0" distB="0" distL="114300" distR="114300" simplePos="0" relativeHeight="251658752" behindDoc="0" locked="0" layoutInCell="1" allowOverlap="1" wp14:anchorId="5FC9FF9E" wp14:editId="63603E77">
          <wp:simplePos x="0" y="0"/>
          <wp:positionH relativeFrom="column">
            <wp:posOffset>4890770</wp:posOffset>
          </wp:positionH>
          <wp:positionV relativeFrom="paragraph">
            <wp:posOffset>320040</wp:posOffset>
          </wp:positionV>
          <wp:extent cx="1323975" cy="476250"/>
          <wp:effectExtent l="0" t="0" r="9525" b="0"/>
          <wp:wrapNone/>
          <wp:docPr id="10" name="Picture 10" descr="Tasmanian Governm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fred.showell\Desktop\Files - Tasmanian Government version\JPG\100079 Tas Gov_no tag_rgb_hor.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3975" cy="476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FEFDF2" w14:textId="77777777" w:rsidR="000A5AB0" w:rsidRDefault="000A5AB0" w:rsidP="007427BF">
    <w:pPr>
      <w:pStyle w:val="Footer"/>
      <w:ind w:left="-567"/>
    </w:pPr>
  </w:p>
  <w:p w14:paraId="19612BEC" w14:textId="77777777" w:rsidR="000A5AB0" w:rsidRDefault="000A5AB0" w:rsidP="007427BF">
    <w:pPr>
      <w:pStyle w:val="Footertext"/>
      <w:ind w:left="-567"/>
    </w:pPr>
    <w:r>
      <w:t>Department of Justice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8358675"/>
      <w:docPartObj>
        <w:docPartGallery w:val="Page Numbers (Bottom of Page)"/>
        <w:docPartUnique/>
      </w:docPartObj>
    </w:sdtPr>
    <w:sdtEndPr>
      <w:rPr>
        <w:noProof/>
      </w:rPr>
    </w:sdtEndPr>
    <w:sdtContent>
      <w:p w14:paraId="4242CDB4" w14:textId="32D5EF1D" w:rsidR="000A5AB0" w:rsidRDefault="000A5AB0">
        <w:pPr>
          <w:pStyle w:val="Footer"/>
          <w:jc w:val="center"/>
        </w:pPr>
        <w:r>
          <w:fldChar w:fldCharType="begin"/>
        </w:r>
        <w:r>
          <w:instrText xml:space="preserve"> PAGE   \* MERGEFORMAT </w:instrText>
        </w:r>
        <w:r>
          <w:fldChar w:fldCharType="separate"/>
        </w:r>
        <w:r w:rsidR="00DF6335">
          <w:rPr>
            <w:noProof/>
          </w:rPr>
          <w:t>7</w:t>
        </w:r>
        <w:r>
          <w:rPr>
            <w:noProof/>
          </w:rPr>
          <w:fldChar w:fldCharType="end"/>
        </w:r>
      </w:p>
    </w:sdtContent>
  </w:sdt>
  <w:p w14:paraId="17DA542D" w14:textId="77777777" w:rsidR="000A5AB0" w:rsidRPr="00C279FC" w:rsidRDefault="000A5AB0" w:rsidP="00A5389A">
    <w:pPr>
      <w:spacing w:before="0" w:after="40"/>
      <w:rPr>
        <w:rFonts w:ascii="Gill Sans MT" w:hAnsi="Gill Sans M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E04651" w14:textId="77777777" w:rsidR="00DB3364" w:rsidRDefault="00DB3364">
      <w:pPr>
        <w:spacing w:before="0" w:after="0" w:line="240" w:lineRule="auto"/>
      </w:pPr>
      <w:r>
        <w:separator/>
      </w:r>
    </w:p>
  </w:footnote>
  <w:footnote w:type="continuationSeparator" w:id="0">
    <w:p w14:paraId="0B806A3B" w14:textId="77777777" w:rsidR="00DB3364" w:rsidRDefault="00DB336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49C66" w14:textId="77777777" w:rsidR="000A5AB0" w:rsidRPr="0098598C" w:rsidRDefault="000A5AB0" w:rsidP="00D86A7F">
    <w:pPr>
      <w:tabs>
        <w:tab w:val="left" w:pos="6804"/>
      </w:tabs>
      <w:rPr>
        <w:rFonts w:ascii="Gill Sans MT" w:hAnsi="Gill Sans MT"/>
        <w:b/>
      </w:rPr>
    </w:pPr>
    <w:r>
      <w:rPr>
        <w:rFonts w:ascii="Gill Sans MT" w:hAnsi="Gill Sans MT"/>
        <w:b/>
      </w:rPr>
      <w:tab/>
    </w:r>
    <w:r w:rsidR="00D96CD0">
      <w:rPr>
        <w:rFonts w:ascii="Gill Sans MT" w:hAnsi="Gill Sans MT"/>
        <w:b/>
      </w:rPr>
      <w:t>FACT SHEET 3</w:t>
    </w:r>
  </w:p>
  <w:p w14:paraId="4050D616" w14:textId="77777777" w:rsidR="000A5AB0" w:rsidRDefault="000A5AB0" w:rsidP="00A5389A">
    <w:pPr>
      <w:pStyle w:val="Header"/>
      <w:tabs>
        <w:tab w:val="clear" w:pos="8640"/>
        <w:tab w:val="right" w:pos="8647"/>
      </w:tabs>
    </w:pPr>
    <w:r>
      <w:rPr>
        <w:lang w:val="en-AU" w:eastAsia="en-AU"/>
      </w:rPr>
      <w:drawing>
        <wp:anchor distT="0" distB="0" distL="114300" distR="114300" simplePos="0" relativeHeight="251656704" behindDoc="1" locked="0" layoutInCell="1" allowOverlap="1" wp14:anchorId="07E18FB6" wp14:editId="7352FA60">
          <wp:simplePos x="0" y="0"/>
          <wp:positionH relativeFrom="column">
            <wp:posOffset>-1341120</wp:posOffset>
          </wp:positionH>
          <wp:positionV relativeFrom="page">
            <wp:posOffset>266065</wp:posOffset>
          </wp:positionV>
          <wp:extent cx="8230870" cy="1195070"/>
          <wp:effectExtent l="0" t="0" r="0" b="0"/>
          <wp:wrapNone/>
          <wp:docPr id="8" name="Picture 3" descr="cir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rcl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30870" cy="119507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B812D" w14:textId="77777777" w:rsidR="000A5AB0" w:rsidRDefault="000A5A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3C04A" w14:textId="72FE8BE6" w:rsidR="000A5AB0" w:rsidRPr="00D3760D" w:rsidRDefault="000A5AB0" w:rsidP="00E35BCB">
    <w:pPr>
      <w:pStyle w:val="Header"/>
    </w:pPr>
    <w:r w:rsidRPr="00C279FC">
      <w:rPr>
        <w:i/>
        <w:sz w:val="22"/>
        <w:lang w:val="en-AU" w:eastAsia="en-AU"/>
      </w:rPr>
      <mc:AlternateContent>
        <mc:Choice Requires="wps">
          <w:drawing>
            <wp:anchor distT="0" distB="0" distL="114300" distR="114300" simplePos="0" relativeHeight="251657728" behindDoc="1" locked="0" layoutInCell="1" allowOverlap="1" wp14:anchorId="7E4954E9" wp14:editId="5E4B6E3F">
              <wp:simplePos x="0" y="0"/>
              <wp:positionH relativeFrom="column">
                <wp:posOffset>-1332230</wp:posOffset>
              </wp:positionH>
              <wp:positionV relativeFrom="page">
                <wp:posOffset>252730</wp:posOffset>
              </wp:positionV>
              <wp:extent cx="1106170" cy="1106170"/>
              <wp:effectExtent l="10795" t="14605" r="16510" b="12700"/>
              <wp:wrapNone/>
              <wp:docPr id="4"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6170" cy="1106170"/>
                      </a:xfrm>
                      <a:prstGeom prst="ellipse">
                        <a:avLst/>
                      </a:prstGeom>
                      <a:noFill/>
                      <a:ln w="19050">
                        <a:solidFill>
                          <a:srgbClr val="5C7F92">
                            <a:alpha val="50000"/>
                          </a:srgbClr>
                        </a:solidFill>
                        <a:round/>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C22E156" id="Oval 7" o:spid="_x0000_s1026" style="position:absolute;margin-left:-104.9pt;margin-top:19.9pt;width:87.1pt;height:87.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" filled="f" fillcolor="#9bc1ff" strokecolor="#5c7f92" strokeweight="1.5pt">
              <v:fill color2="#3f80cd" focus="100%" type="gradient">
                <o:fill v:ext="view" type="gradientUnscaled"/>
              </v:fill>
              <v:stroke opacity="32896f"/>
              <v:shadow opacity="22938f" offset="0"/>
              <v:textbox inset=",7.2pt,,7.2pt"/>
              <w10:wrap anchory="page"/>
            </v:oval>
          </w:pict>
        </mc:Fallback>
      </mc:AlternateContent>
    </w:r>
    <w:r w:rsidR="00F31B7A">
      <w:rPr>
        <w:i/>
        <w:sz w:val="22"/>
      </w:rPr>
      <w:t>FACT SHEET 3</w:t>
    </w:r>
    <w:r w:rsidR="009B1C8D">
      <w:rPr>
        <w:i/>
        <w:sz w:val="22"/>
      </w:rPr>
      <w:t xml:space="preserve"> – </w:t>
    </w:r>
    <w:r w:rsidR="002879D2">
      <w:rPr>
        <w:i/>
        <w:sz w:val="22"/>
      </w:rPr>
      <w:t>m</w:t>
    </w:r>
    <w:r w:rsidR="007F7C25">
      <w:rPr>
        <w:i/>
        <w:sz w:val="22"/>
      </w:rPr>
      <w:t xml:space="preserve">ajor projects assessment reform: </w:t>
    </w:r>
    <w:r w:rsidR="002879D2">
      <w:rPr>
        <w:i/>
        <w:sz w:val="22"/>
      </w:rPr>
      <w:t>roles and responsibilities</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ECE9B" w14:textId="77777777" w:rsidR="000A5AB0" w:rsidRDefault="000A5A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46244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A70D6F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0023FF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D8BE9D2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C5A83FE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0D4C996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EB4548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686E9DF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8B5495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926E9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4FAE18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05168A"/>
    <w:multiLevelType w:val="multilevel"/>
    <w:tmpl w:val="65F876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E2E1BE7"/>
    <w:multiLevelType w:val="hybridMultilevel"/>
    <w:tmpl w:val="525611B8"/>
    <w:lvl w:ilvl="0" w:tplc="0C09000B">
      <w:start w:val="1"/>
      <w:numFmt w:val="bullet"/>
      <w:lvlText w:val=""/>
      <w:lvlJc w:val="left"/>
      <w:pPr>
        <w:ind w:left="2700" w:hanging="360"/>
      </w:pPr>
      <w:rPr>
        <w:rFonts w:ascii="Wingdings" w:hAnsi="Wingdings" w:hint="default"/>
      </w:rPr>
    </w:lvl>
    <w:lvl w:ilvl="1" w:tplc="0C090019">
      <w:start w:val="1"/>
      <w:numFmt w:val="lowerLetter"/>
      <w:lvlText w:val="%2."/>
      <w:lvlJc w:val="left"/>
      <w:pPr>
        <w:ind w:left="3420" w:hanging="360"/>
      </w:pPr>
    </w:lvl>
    <w:lvl w:ilvl="2" w:tplc="0C09001B">
      <w:start w:val="1"/>
      <w:numFmt w:val="lowerRoman"/>
      <w:lvlText w:val="%3."/>
      <w:lvlJc w:val="right"/>
      <w:pPr>
        <w:ind w:left="4140" w:hanging="180"/>
      </w:pPr>
    </w:lvl>
    <w:lvl w:ilvl="3" w:tplc="0C09000F">
      <w:start w:val="1"/>
      <w:numFmt w:val="decimal"/>
      <w:lvlText w:val="%4."/>
      <w:lvlJc w:val="left"/>
      <w:pPr>
        <w:ind w:left="4860" w:hanging="360"/>
      </w:pPr>
    </w:lvl>
    <w:lvl w:ilvl="4" w:tplc="0C090019">
      <w:start w:val="1"/>
      <w:numFmt w:val="lowerLetter"/>
      <w:lvlText w:val="%5."/>
      <w:lvlJc w:val="left"/>
      <w:pPr>
        <w:ind w:left="5580" w:hanging="360"/>
      </w:pPr>
    </w:lvl>
    <w:lvl w:ilvl="5" w:tplc="0C09001B">
      <w:start w:val="1"/>
      <w:numFmt w:val="lowerRoman"/>
      <w:lvlText w:val="%6."/>
      <w:lvlJc w:val="right"/>
      <w:pPr>
        <w:ind w:left="6300" w:hanging="180"/>
      </w:pPr>
    </w:lvl>
    <w:lvl w:ilvl="6" w:tplc="0C09000F">
      <w:start w:val="1"/>
      <w:numFmt w:val="decimal"/>
      <w:lvlText w:val="%7."/>
      <w:lvlJc w:val="left"/>
      <w:pPr>
        <w:ind w:left="7020" w:hanging="360"/>
      </w:pPr>
    </w:lvl>
    <w:lvl w:ilvl="7" w:tplc="0C090019">
      <w:start w:val="1"/>
      <w:numFmt w:val="lowerLetter"/>
      <w:lvlText w:val="%8."/>
      <w:lvlJc w:val="left"/>
      <w:pPr>
        <w:ind w:left="7740" w:hanging="360"/>
      </w:pPr>
    </w:lvl>
    <w:lvl w:ilvl="8" w:tplc="0C09001B">
      <w:start w:val="1"/>
      <w:numFmt w:val="lowerRoman"/>
      <w:lvlText w:val="%9."/>
      <w:lvlJc w:val="right"/>
      <w:pPr>
        <w:ind w:left="8460" w:hanging="180"/>
      </w:pPr>
    </w:lvl>
  </w:abstractNum>
  <w:abstractNum w:abstractNumId="13" w15:restartNumberingAfterBreak="0">
    <w:nsid w:val="144C6824"/>
    <w:multiLevelType w:val="multilevel"/>
    <w:tmpl w:val="FB905A52"/>
    <w:lvl w:ilvl="0">
      <w:start w:val="1"/>
      <w:numFmt w:val="bullet"/>
      <w:lvlText w:val=""/>
      <w:lvlJc w:val="left"/>
      <w:pPr>
        <w:ind w:left="1418" w:hanging="284"/>
      </w:pPr>
      <w:rPr>
        <w:rFonts w:ascii="Arial Black" w:hAnsi="Arial Black" w:hint="default"/>
        <w:b/>
        <w:i w:val="0"/>
        <w:color w:val="DF9E33"/>
        <w:sz w:val="2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4F65803"/>
    <w:multiLevelType w:val="hybridMultilevel"/>
    <w:tmpl w:val="777A1AE4"/>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5" w15:restartNumberingAfterBreak="0">
    <w:nsid w:val="1DA56C28"/>
    <w:multiLevelType w:val="hybridMultilevel"/>
    <w:tmpl w:val="F8BC033E"/>
    <w:lvl w:ilvl="0" w:tplc="C7BE4696">
      <w:start w:val="1"/>
      <w:numFmt w:val="bullet"/>
      <w:lvlText w:val=""/>
      <w:lvlJc w:val="left"/>
      <w:pPr>
        <w:tabs>
          <w:tab w:val="num" w:pos="720"/>
        </w:tabs>
        <w:ind w:left="720" w:hanging="360"/>
      </w:pPr>
      <w:rPr>
        <w:rFonts w:ascii="Wingdings 3" w:hAnsi="Wingdings 3" w:hint="default"/>
      </w:rPr>
    </w:lvl>
    <w:lvl w:ilvl="1" w:tplc="6A5CBBFA" w:tentative="1">
      <w:start w:val="1"/>
      <w:numFmt w:val="bullet"/>
      <w:lvlText w:val=""/>
      <w:lvlJc w:val="left"/>
      <w:pPr>
        <w:tabs>
          <w:tab w:val="num" w:pos="1440"/>
        </w:tabs>
        <w:ind w:left="1440" w:hanging="360"/>
      </w:pPr>
      <w:rPr>
        <w:rFonts w:ascii="Wingdings 3" w:hAnsi="Wingdings 3" w:hint="default"/>
      </w:rPr>
    </w:lvl>
    <w:lvl w:ilvl="2" w:tplc="1FE4F06C" w:tentative="1">
      <w:start w:val="1"/>
      <w:numFmt w:val="bullet"/>
      <w:lvlText w:val=""/>
      <w:lvlJc w:val="left"/>
      <w:pPr>
        <w:tabs>
          <w:tab w:val="num" w:pos="2160"/>
        </w:tabs>
        <w:ind w:left="2160" w:hanging="360"/>
      </w:pPr>
      <w:rPr>
        <w:rFonts w:ascii="Wingdings 3" w:hAnsi="Wingdings 3" w:hint="default"/>
      </w:rPr>
    </w:lvl>
    <w:lvl w:ilvl="3" w:tplc="F58C9030" w:tentative="1">
      <w:start w:val="1"/>
      <w:numFmt w:val="bullet"/>
      <w:lvlText w:val=""/>
      <w:lvlJc w:val="left"/>
      <w:pPr>
        <w:tabs>
          <w:tab w:val="num" w:pos="2880"/>
        </w:tabs>
        <w:ind w:left="2880" w:hanging="360"/>
      </w:pPr>
      <w:rPr>
        <w:rFonts w:ascii="Wingdings 3" w:hAnsi="Wingdings 3" w:hint="default"/>
      </w:rPr>
    </w:lvl>
    <w:lvl w:ilvl="4" w:tplc="29865B78" w:tentative="1">
      <w:start w:val="1"/>
      <w:numFmt w:val="bullet"/>
      <w:lvlText w:val=""/>
      <w:lvlJc w:val="left"/>
      <w:pPr>
        <w:tabs>
          <w:tab w:val="num" w:pos="3600"/>
        </w:tabs>
        <w:ind w:left="3600" w:hanging="360"/>
      </w:pPr>
      <w:rPr>
        <w:rFonts w:ascii="Wingdings 3" w:hAnsi="Wingdings 3" w:hint="default"/>
      </w:rPr>
    </w:lvl>
    <w:lvl w:ilvl="5" w:tplc="6F5ED2CE" w:tentative="1">
      <w:start w:val="1"/>
      <w:numFmt w:val="bullet"/>
      <w:lvlText w:val=""/>
      <w:lvlJc w:val="left"/>
      <w:pPr>
        <w:tabs>
          <w:tab w:val="num" w:pos="4320"/>
        </w:tabs>
        <w:ind w:left="4320" w:hanging="360"/>
      </w:pPr>
      <w:rPr>
        <w:rFonts w:ascii="Wingdings 3" w:hAnsi="Wingdings 3" w:hint="default"/>
      </w:rPr>
    </w:lvl>
    <w:lvl w:ilvl="6" w:tplc="C70A5182" w:tentative="1">
      <w:start w:val="1"/>
      <w:numFmt w:val="bullet"/>
      <w:lvlText w:val=""/>
      <w:lvlJc w:val="left"/>
      <w:pPr>
        <w:tabs>
          <w:tab w:val="num" w:pos="5040"/>
        </w:tabs>
        <w:ind w:left="5040" w:hanging="360"/>
      </w:pPr>
      <w:rPr>
        <w:rFonts w:ascii="Wingdings 3" w:hAnsi="Wingdings 3" w:hint="default"/>
      </w:rPr>
    </w:lvl>
    <w:lvl w:ilvl="7" w:tplc="50D2FAB6" w:tentative="1">
      <w:start w:val="1"/>
      <w:numFmt w:val="bullet"/>
      <w:lvlText w:val=""/>
      <w:lvlJc w:val="left"/>
      <w:pPr>
        <w:tabs>
          <w:tab w:val="num" w:pos="5760"/>
        </w:tabs>
        <w:ind w:left="5760" w:hanging="360"/>
      </w:pPr>
      <w:rPr>
        <w:rFonts w:ascii="Wingdings 3" w:hAnsi="Wingdings 3" w:hint="default"/>
      </w:rPr>
    </w:lvl>
    <w:lvl w:ilvl="8" w:tplc="CCA6A43C" w:tentative="1">
      <w:start w:val="1"/>
      <w:numFmt w:val="bullet"/>
      <w:lvlText w:val=""/>
      <w:lvlJc w:val="left"/>
      <w:pPr>
        <w:tabs>
          <w:tab w:val="num" w:pos="6480"/>
        </w:tabs>
        <w:ind w:left="6480" w:hanging="360"/>
      </w:pPr>
      <w:rPr>
        <w:rFonts w:ascii="Wingdings 3" w:hAnsi="Wingdings 3" w:hint="default"/>
      </w:rPr>
    </w:lvl>
  </w:abstractNum>
  <w:abstractNum w:abstractNumId="16" w15:restartNumberingAfterBreak="0">
    <w:nsid w:val="1EC6407B"/>
    <w:multiLevelType w:val="hybridMultilevel"/>
    <w:tmpl w:val="A44EE030"/>
    <w:lvl w:ilvl="0" w:tplc="C800627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4F87E4D"/>
    <w:multiLevelType w:val="hybridMultilevel"/>
    <w:tmpl w:val="40C2D8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52E135F"/>
    <w:multiLevelType w:val="hybridMultilevel"/>
    <w:tmpl w:val="E28E25C4"/>
    <w:lvl w:ilvl="0" w:tplc="2B7C8CC2">
      <w:start w:val="1"/>
      <w:numFmt w:val="bullet"/>
      <w:pStyle w:val="Bullets"/>
      <w:lvlText w:val=""/>
      <w:lvlJc w:val="left"/>
      <w:pPr>
        <w:ind w:left="1418" w:hanging="284"/>
      </w:pPr>
      <w:rPr>
        <w:rFonts w:ascii="Arial Black" w:hAnsi="Arial Black" w:hint="default"/>
        <w:b/>
        <w:i w:val="0"/>
        <w:color w:val="94A545"/>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A52575"/>
    <w:multiLevelType w:val="multilevel"/>
    <w:tmpl w:val="05D2BC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ABB75C2"/>
    <w:multiLevelType w:val="hybridMultilevel"/>
    <w:tmpl w:val="EEDAB7B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0FB3D39"/>
    <w:multiLevelType w:val="hybridMultilevel"/>
    <w:tmpl w:val="F8BA86E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318D1EEE"/>
    <w:multiLevelType w:val="hybridMultilevel"/>
    <w:tmpl w:val="A9CC9372"/>
    <w:lvl w:ilvl="0" w:tplc="511E85F0">
      <w:numFmt w:val="bullet"/>
      <w:lvlText w:val="-"/>
      <w:lvlJc w:val="left"/>
      <w:pPr>
        <w:ind w:left="720" w:hanging="360"/>
      </w:pPr>
      <w:rPr>
        <w:rFonts w:ascii="Gill Sans MT" w:eastAsia="Calibri" w:hAnsi="Gill Sans MT"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4F105B9"/>
    <w:multiLevelType w:val="hybridMultilevel"/>
    <w:tmpl w:val="75C204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54B162F"/>
    <w:multiLevelType w:val="multilevel"/>
    <w:tmpl w:val="44F28D6A"/>
    <w:lvl w:ilvl="0">
      <w:start w:val="1"/>
      <w:numFmt w:val="bullet"/>
      <w:lvlText w:val=""/>
      <w:lvlJc w:val="left"/>
      <w:pPr>
        <w:ind w:left="1418" w:hanging="284"/>
      </w:pPr>
      <w:rPr>
        <w:rFonts w:ascii="Arial Black" w:hAnsi="Arial Black" w:hint="default"/>
        <w:b/>
        <w:i w:val="0"/>
        <w:color w:val="94A545"/>
        <w:sz w:val="2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8511524"/>
    <w:multiLevelType w:val="hybridMultilevel"/>
    <w:tmpl w:val="51744CEC"/>
    <w:lvl w:ilvl="0" w:tplc="849CFE54">
      <w:start w:val="1"/>
      <w:numFmt w:val="bullet"/>
      <w:lvlText w:val=""/>
      <w:lvlJc w:val="left"/>
      <w:pPr>
        <w:ind w:left="1418" w:hanging="284"/>
      </w:pPr>
      <w:rPr>
        <w:rFonts w:ascii="Arial Black" w:hAnsi="Arial Black" w:hint="default"/>
        <w:b/>
        <w:i w:val="0"/>
        <w:color w:val="DF9E33"/>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635B60"/>
    <w:multiLevelType w:val="hybridMultilevel"/>
    <w:tmpl w:val="74F6A188"/>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9CE03BA"/>
    <w:multiLevelType w:val="hybridMultilevel"/>
    <w:tmpl w:val="444450FC"/>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CE16B80"/>
    <w:multiLevelType w:val="hybridMultilevel"/>
    <w:tmpl w:val="D66C79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9" w15:restartNumberingAfterBreak="0">
    <w:nsid w:val="61FF31F6"/>
    <w:multiLevelType w:val="hybridMultilevel"/>
    <w:tmpl w:val="0186F2A4"/>
    <w:lvl w:ilvl="0" w:tplc="33F6BF78">
      <w:numFmt w:val="bullet"/>
      <w:lvlText w:val="-"/>
      <w:lvlJc w:val="left"/>
      <w:pPr>
        <w:ind w:left="720" w:hanging="360"/>
      </w:pPr>
      <w:rPr>
        <w:rFonts w:ascii="Gill Sans MT" w:eastAsia="Calibri" w:hAnsi="Gill Sans MT"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52453AA"/>
    <w:multiLevelType w:val="hybridMultilevel"/>
    <w:tmpl w:val="AEA6B3F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6A046564"/>
    <w:multiLevelType w:val="hybridMultilevel"/>
    <w:tmpl w:val="6406CAEA"/>
    <w:lvl w:ilvl="0" w:tplc="0C090017">
      <w:start w:val="1"/>
      <w:numFmt w:val="lowerLetter"/>
      <w:lvlText w:val="%1)"/>
      <w:lvlJc w:val="left"/>
      <w:pPr>
        <w:ind w:left="720" w:hanging="360"/>
      </w:pPr>
      <w:rPr>
        <w:rFonts w:cs="Times New Roman"/>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2" w15:restartNumberingAfterBreak="0">
    <w:nsid w:val="701C35D2"/>
    <w:multiLevelType w:val="hybridMultilevel"/>
    <w:tmpl w:val="AB3EDC92"/>
    <w:lvl w:ilvl="0" w:tplc="511E85F0">
      <w:numFmt w:val="bullet"/>
      <w:lvlText w:val="-"/>
      <w:lvlJc w:val="left"/>
      <w:pPr>
        <w:ind w:left="720" w:hanging="360"/>
      </w:pPr>
      <w:rPr>
        <w:rFonts w:ascii="Gill Sans MT" w:eastAsia="Calibri" w:hAnsi="Gill Sans MT"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2FC10E3"/>
    <w:multiLevelType w:val="hybridMultilevel"/>
    <w:tmpl w:val="6142B322"/>
    <w:lvl w:ilvl="0" w:tplc="B4A822AE">
      <w:start w:val="1"/>
      <w:numFmt w:val="decimal"/>
      <w:pStyle w:val="Numberedlist"/>
      <w:lvlText w:val="%1."/>
      <w:lvlJc w:val="left"/>
      <w:pPr>
        <w:ind w:left="1494" w:hanging="360"/>
      </w:pPr>
      <w:rPr>
        <w:rFonts w:ascii="Gill Sans Light" w:hAnsi="Gill Sans Light" w:hint="default"/>
        <w:b w:val="0"/>
        <w:i w:val="0"/>
        <w:color w:val="94A545"/>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88780C"/>
    <w:multiLevelType w:val="hybridMultilevel"/>
    <w:tmpl w:val="50BCBA58"/>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5" w15:restartNumberingAfterBreak="0">
    <w:nsid w:val="7AFD09C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9"/>
  </w:num>
  <w:num w:numId="2">
    <w:abstractNumId w:val="11"/>
  </w:num>
  <w:num w:numId="3">
    <w:abstractNumId w:val="11"/>
  </w:num>
  <w:num w:numId="4">
    <w:abstractNumId w:val="25"/>
  </w:num>
  <w:num w:numId="5">
    <w:abstractNumId w:val="10"/>
  </w:num>
  <w:num w:numId="6">
    <w:abstractNumId w:val="8"/>
  </w:num>
  <w:num w:numId="7">
    <w:abstractNumId w:val="7"/>
  </w:num>
  <w:num w:numId="8">
    <w:abstractNumId w:val="6"/>
  </w:num>
  <w:num w:numId="9">
    <w:abstractNumId w:val="5"/>
  </w:num>
  <w:num w:numId="10">
    <w:abstractNumId w:val="9"/>
  </w:num>
  <w:num w:numId="11">
    <w:abstractNumId w:val="4"/>
  </w:num>
  <w:num w:numId="12">
    <w:abstractNumId w:val="3"/>
  </w:num>
  <w:num w:numId="13">
    <w:abstractNumId w:val="2"/>
  </w:num>
  <w:num w:numId="14">
    <w:abstractNumId w:val="1"/>
  </w:num>
  <w:num w:numId="15">
    <w:abstractNumId w:val="0"/>
  </w:num>
  <w:num w:numId="16">
    <w:abstractNumId w:val="13"/>
  </w:num>
  <w:num w:numId="17">
    <w:abstractNumId w:val="33"/>
  </w:num>
  <w:num w:numId="18">
    <w:abstractNumId w:val="14"/>
  </w:num>
  <w:num w:numId="19">
    <w:abstractNumId w:val="24"/>
  </w:num>
  <w:num w:numId="20">
    <w:abstractNumId w:val="35"/>
  </w:num>
  <w:num w:numId="21">
    <w:abstractNumId w:val="18"/>
  </w:num>
  <w:num w:numId="22">
    <w:abstractNumId w:val="33"/>
    <w:lvlOverride w:ilvl="0">
      <w:startOverride w:val="1"/>
    </w:lvlOverride>
  </w:num>
  <w:num w:numId="2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20"/>
  </w:num>
  <w:num w:numId="28">
    <w:abstractNumId w:val="12"/>
  </w:num>
  <w:num w:numId="29">
    <w:abstractNumId w:val="31"/>
  </w:num>
  <w:num w:numId="30">
    <w:abstractNumId w:val="27"/>
  </w:num>
  <w:num w:numId="31">
    <w:abstractNumId w:val="15"/>
  </w:num>
  <w:num w:numId="32">
    <w:abstractNumId w:val="26"/>
  </w:num>
  <w:num w:numId="33">
    <w:abstractNumId w:val="17"/>
  </w:num>
  <w:num w:numId="34">
    <w:abstractNumId w:val="23"/>
  </w:num>
  <w:num w:numId="35">
    <w:abstractNumId w:val="30"/>
  </w:num>
  <w:num w:numId="36">
    <w:abstractNumId w:val="21"/>
  </w:num>
  <w:num w:numId="37">
    <w:abstractNumId w:val="16"/>
  </w:num>
  <w:num w:numId="38">
    <w:abstractNumId w:val="32"/>
  </w:num>
  <w:num w:numId="39">
    <w:abstractNumId w:val="29"/>
  </w:num>
  <w:num w:numId="4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2049">
      <o:colormru v:ext="edit" colors="#5c7f9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4C9"/>
    <w:rsid w:val="000048D4"/>
    <w:rsid w:val="0001078A"/>
    <w:rsid w:val="00011ACE"/>
    <w:rsid w:val="000132EE"/>
    <w:rsid w:val="000172FA"/>
    <w:rsid w:val="000174C3"/>
    <w:rsid w:val="000234C9"/>
    <w:rsid w:val="00030200"/>
    <w:rsid w:val="00030EED"/>
    <w:rsid w:val="0003333E"/>
    <w:rsid w:val="00037154"/>
    <w:rsid w:val="0004148F"/>
    <w:rsid w:val="0004233B"/>
    <w:rsid w:val="00046514"/>
    <w:rsid w:val="00046D02"/>
    <w:rsid w:val="00052BCE"/>
    <w:rsid w:val="00053079"/>
    <w:rsid w:val="00053741"/>
    <w:rsid w:val="00054359"/>
    <w:rsid w:val="00063304"/>
    <w:rsid w:val="00063D60"/>
    <w:rsid w:val="0006549D"/>
    <w:rsid w:val="00074280"/>
    <w:rsid w:val="000777AF"/>
    <w:rsid w:val="00082E8D"/>
    <w:rsid w:val="00083861"/>
    <w:rsid w:val="00083877"/>
    <w:rsid w:val="00083A63"/>
    <w:rsid w:val="00083F57"/>
    <w:rsid w:val="00087E12"/>
    <w:rsid w:val="0009340F"/>
    <w:rsid w:val="00094C1B"/>
    <w:rsid w:val="0009765B"/>
    <w:rsid w:val="00097FBB"/>
    <w:rsid w:val="000A23D8"/>
    <w:rsid w:val="000A3569"/>
    <w:rsid w:val="000A5AB0"/>
    <w:rsid w:val="000C0105"/>
    <w:rsid w:val="000C3544"/>
    <w:rsid w:val="000C3BAA"/>
    <w:rsid w:val="000C6B17"/>
    <w:rsid w:val="000C7402"/>
    <w:rsid w:val="000D2821"/>
    <w:rsid w:val="000D28E0"/>
    <w:rsid w:val="000D5A44"/>
    <w:rsid w:val="000D62DC"/>
    <w:rsid w:val="000E0A75"/>
    <w:rsid w:val="000E3603"/>
    <w:rsid w:val="000E3609"/>
    <w:rsid w:val="000E3F87"/>
    <w:rsid w:val="000E54A7"/>
    <w:rsid w:val="000E72BB"/>
    <w:rsid w:val="000F00F9"/>
    <w:rsid w:val="000F047B"/>
    <w:rsid w:val="000F160B"/>
    <w:rsid w:val="000F217A"/>
    <w:rsid w:val="000F55A1"/>
    <w:rsid w:val="001004A9"/>
    <w:rsid w:val="001034AC"/>
    <w:rsid w:val="0010544F"/>
    <w:rsid w:val="001113FB"/>
    <w:rsid w:val="001132F3"/>
    <w:rsid w:val="001174DB"/>
    <w:rsid w:val="00121B2D"/>
    <w:rsid w:val="0013034E"/>
    <w:rsid w:val="00130D93"/>
    <w:rsid w:val="00131027"/>
    <w:rsid w:val="0013372C"/>
    <w:rsid w:val="00135C81"/>
    <w:rsid w:val="00136234"/>
    <w:rsid w:val="0013742D"/>
    <w:rsid w:val="00140099"/>
    <w:rsid w:val="00140D46"/>
    <w:rsid w:val="00141B06"/>
    <w:rsid w:val="00141C7A"/>
    <w:rsid w:val="00141E3D"/>
    <w:rsid w:val="00147191"/>
    <w:rsid w:val="00155EFC"/>
    <w:rsid w:val="00163C5B"/>
    <w:rsid w:val="00163D13"/>
    <w:rsid w:val="00164129"/>
    <w:rsid w:val="00166883"/>
    <w:rsid w:val="00170ED6"/>
    <w:rsid w:val="001743E6"/>
    <w:rsid w:val="00175D4D"/>
    <w:rsid w:val="00181AB6"/>
    <w:rsid w:val="00185CEC"/>
    <w:rsid w:val="0019057D"/>
    <w:rsid w:val="00194E89"/>
    <w:rsid w:val="001A47EC"/>
    <w:rsid w:val="001A65D6"/>
    <w:rsid w:val="001B73D0"/>
    <w:rsid w:val="001C0830"/>
    <w:rsid w:val="001C40BA"/>
    <w:rsid w:val="001C57D6"/>
    <w:rsid w:val="001D1800"/>
    <w:rsid w:val="001D1ED2"/>
    <w:rsid w:val="001D4ECA"/>
    <w:rsid w:val="001D66E5"/>
    <w:rsid w:val="001E20DF"/>
    <w:rsid w:val="001E655D"/>
    <w:rsid w:val="001E71CA"/>
    <w:rsid w:val="0020117E"/>
    <w:rsid w:val="00205005"/>
    <w:rsid w:val="0020562C"/>
    <w:rsid w:val="00212EE7"/>
    <w:rsid w:val="00214367"/>
    <w:rsid w:val="00217EB3"/>
    <w:rsid w:val="002241F3"/>
    <w:rsid w:val="002249D1"/>
    <w:rsid w:val="00231418"/>
    <w:rsid w:val="00232ADC"/>
    <w:rsid w:val="00236222"/>
    <w:rsid w:val="00242AFD"/>
    <w:rsid w:val="00244739"/>
    <w:rsid w:val="00245B6E"/>
    <w:rsid w:val="0025111B"/>
    <w:rsid w:val="002513FE"/>
    <w:rsid w:val="00251AF0"/>
    <w:rsid w:val="00252583"/>
    <w:rsid w:val="0025531E"/>
    <w:rsid w:val="002611FD"/>
    <w:rsid w:val="00262701"/>
    <w:rsid w:val="00264BF4"/>
    <w:rsid w:val="00264F50"/>
    <w:rsid w:val="002674D5"/>
    <w:rsid w:val="00270E65"/>
    <w:rsid w:val="0027322B"/>
    <w:rsid w:val="00274198"/>
    <w:rsid w:val="00276EC6"/>
    <w:rsid w:val="0028218B"/>
    <w:rsid w:val="002833F9"/>
    <w:rsid w:val="00286461"/>
    <w:rsid w:val="002879D2"/>
    <w:rsid w:val="0029059D"/>
    <w:rsid w:val="00291C56"/>
    <w:rsid w:val="0029278F"/>
    <w:rsid w:val="00296961"/>
    <w:rsid w:val="002970F7"/>
    <w:rsid w:val="002A4CFA"/>
    <w:rsid w:val="002B3F55"/>
    <w:rsid w:val="002B6D13"/>
    <w:rsid w:val="002C0871"/>
    <w:rsid w:val="002C4CC1"/>
    <w:rsid w:val="002C5CE1"/>
    <w:rsid w:val="002C7B6E"/>
    <w:rsid w:val="002D17EB"/>
    <w:rsid w:val="002D3D0E"/>
    <w:rsid w:val="002D4E4B"/>
    <w:rsid w:val="002E3AB6"/>
    <w:rsid w:val="002F3A08"/>
    <w:rsid w:val="002F47A3"/>
    <w:rsid w:val="002F5CDD"/>
    <w:rsid w:val="002F7BFB"/>
    <w:rsid w:val="00300F38"/>
    <w:rsid w:val="00302252"/>
    <w:rsid w:val="00312FC8"/>
    <w:rsid w:val="00317315"/>
    <w:rsid w:val="00321A77"/>
    <w:rsid w:val="00321E42"/>
    <w:rsid w:val="00325182"/>
    <w:rsid w:val="00325A94"/>
    <w:rsid w:val="00327AE8"/>
    <w:rsid w:val="00327D23"/>
    <w:rsid w:val="003301BF"/>
    <w:rsid w:val="00331AE8"/>
    <w:rsid w:val="00334D89"/>
    <w:rsid w:val="003352A3"/>
    <w:rsid w:val="00335F3A"/>
    <w:rsid w:val="003465CB"/>
    <w:rsid w:val="00354EFC"/>
    <w:rsid w:val="00363F51"/>
    <w:rsid w:val="00365665"/>
    <w:rsid w:val="00371572"/>
    <w:rsid w:val="00381AC8"/>
    <w:rsid w:val="00386FF6"/>
    <w:rsid w:val="003979E4"/>
    <w:rsid w:val="003A5F73"/>
    <w:rsid w:val="003A6AE5"/>
    <w:rsid w:val="003B64C0"/>
    <w:rsid w:val="003C1BBA"/>
    <w:rsid w:val="003C1CBF"/>
    <w:rsid w:val="003C7966"/>
    <w:rsid w:val="003D76B6"/>
    <w:rsid w:val="003E102A"/>
    <w:rsid w:val="003E3747"/>
    <w:rsid w:val="003E40A0"/>
    <w:rsid w:val="003F26EB"/>
    <w:rsid w:val="00400367"/>
    <w:rsid w:val="004041E9"/>
    <w:rsid w:val="004047FE"/>
    <w:rsid w:val="00406AA8"/>
    <w:rsid w:val="004117BC"/>
    <w:rsid w:val="00412328"/>
    <w:rsid w:val="00412771"/>
    <w:rsid w:val="00414A94"/>
    <w:rsid w:val="00421141"/>
    <w:rsid w:val="00421388"/>
    <w:rsid w:val="004236F7"/>
    <w:rsid w:val="00425C13"/>
    <w:rsid w:val="00426A39"/>
    <w:rsid w:val="00430AFA"/>
    <w:rsid w:val="004403A7"/>
    <w:rsid w:val="00440FEA"/>
    <w:rsid w:val="00443BDF"/>
    <w:rsid w:val="004440A0"/>
    <w:rsid w:val="00451D8E"/>
    <w:rsid w:val="0045318A"/>
    <w:rsid w:val="0045330D"/>
    <w:rsid w:val="00463698"/>
    <w:rsid w:val="00464F9C"/>
    <w:rsid w:val="00465293"/>
    <w:rsid w:val="00473414"/>
    <w:rsid w:val="004842B9"/>
    <w:rsid w:val="004931EC"/>
    <w:rsid w:val="004939BD"/>
    <w:rsid w:val="00495363"/>
    <w:rsid w:val="00495E66"/>
    <w:rsid w:val="00496BFC"/>
    <w:rsid w:val="004A1079"/>
    <w:rsid w:val="004A2120"/>
    <w:rsid w:val="004B05EE"/>
    <w:rsid w:val="004B3950"/>
    <w:rsid w:val="004B3D99"/>
    <w:rsid w:val="004C3C9C"/>
    <w:rsid w:val="004C7AB2"/>
    <w:rsid w:val="004D21CF"/>
    <w:rsid w:val="004D60A9"/>
    <w:rsid w:val="004E0674"/>
    <w:rsid w:val="004E37C0"/>
    <w:rsid w:val="004E742A"/>
    <w:rsid w:val="004E7573"/>
    <w:rsid w:val="00501871"/>
    <w:rsid w:val="00520DA5"/>
    <w:rsid w:val="005224BB"/>
    <w:rsid w:val="00522D3B"/>
    <w:rsid w:val="00523547"/>
    <w:rsid w:val="00523A3A"/>
    <w:rsid w:val="005264C2"/>
    <w:rsid w:val="00530355"/>
    <w:rsid w:val="00531B34"/>
    <w:rsid w:val="0053494A"/>
    <w:rsid w:val="00535204"/>
    <w:rsid w:val="00541AB4"/>
    <w:rsid w:val="00544BEB"/>
    <w:rsid w:val="00546F38"/>
    <w:rsid w:val="00550805"/>
    <w:rsid w:val="005535E8"/>
    <w:rsid w:val="00554A87"/>
    <w:rsid w:val="005552F0"/>
    <w:rsid w:val="00556D33"/>
    <w:rsid w:val="00557686"/>
    <w:rsid w:val="00557C2A"/>
    <w:rsid w:val="00565935"/>
    <w:rsid w:val="00571E1E"/>
    <w:rsid w:val="005759AA"/>
    <w:rsid w:val="0057666D"/>
    <w:rsid w:val="00576C6A"/>
    <w:rsid w:val="00590C05"/>
    <w:rsid w:val="005946CF"/>
    <w:rsid w:val="005A2317"/>
    <w:rsid w:val="005A58D1"/>
    <w:rsid w:val="005A6A30"/>
    <w:rsid w:val="005A713C"/>
    <w:rsid w:val="005B672A"/>
    <w:rsid w:val="005B7366"/>
    <w:rsid w:val="005C2245"/>
    <w:rsid w:val="005C2ABA"/>
    <w:rsid w:val="005C74E0"/>
    <w:rsid w:val="005C7706"/>
    <w:rsid w:val="005D2C08"/>
    <w:rsid w:val="005D2C22"/>
    <w:rsid w:val="005D7791"/>
    <w:rsid w:val="005D7A05"/>
    <w:rsid w:val="005E4304"/>
    <w:rsid w:val="005E510E"/>
    <w:rsid w:val="005F0C9D"/>
    <w:rsid w:val="005F1BBF"/>
    <w:rsid w:val="005F23E8"/>
    <w:rsid w:val="0060488C"/>
    <w:rsid w:val="00605588"/>
    <w:rsid w:val="006064C9"/>
    <w:rsid w:val="00615FF8"/>
    <w:rsid w:val="00621CD3"/>
    <w:rsid w:val="00636C3D"/>
    <w:rsid w:val="00640506"/>
    <w:rsid w:val="00640E26"/>
    <w:rsid w:val="0064104D"/>
    <w:rsid w:val="00642F24"/>
    <w:rsid w:val="00643FD8"/>
    <w:rsid w:val="00644163"/>
    <w:rsid w:val="00647123"/>
    <w:rsid w:val="00655521"/>
    <w:rsid w:val="0066061E"/>
    <w:rsid w:val="0066072A"/>
    <w:rsid w:val="006626FA"/>
    <w:rsid w:val="006712A4"/>
    <w:rsid w:val="006927CC"/>
    <w:rsid w:val="006A2D8C"/>
    <w:rsid w:val="006B5F24"/>
    <w:rsid w:val="006C1129"/>
    <w:rsid w:val="006C1C5F"/>
    <w:rsid w:val="006C210A"/>
    <w:rsid w:val="006D0404"/>
    <w:rsid w:val="006D05A5"/>
    <w:rsid w:val="006D284B"/>
    <w:rsid w:val="006D3229"/>
    <w:rsid w:val="006D79A9"/>
    <w:rsid w:val="006E2800"/>
    <w:rsid w:val="006E4FA6"/>
    <w:rsid w:val="006E79DA"/>
    <w:rsid w:val="006F348C"/>
    <w:rsid w:val="006F37E3"/>
    <w:rsid w:val="006F3891"/>
    <w:rsid w:val="006F3B76"/>
    <w:rsid w:val="006F4215"/>
    <w:rsid w:val="006F67B8"/>
    <w:rsid w:val="007045A5"/>
    <w:rsid w:val="00707B63"/>
    <w:rsid w:val="007126C7"/>
    <w:rsid w:val="007155E6"/>
    <w:rsid w:val="00720011"/>
    <w:rsid w:val="00721A53"/>
    <w:rsid w:val="0072625D"/>
    <w:rsid w:val="007337DD"/>
    <w:rsid w:val="00733D5E"/>
    <w:rsid w:val="00736310"/>
    <w:rsid w:val="00740705"/>
    <w:rsid w:val="00740F7A"/>
    <w:rsid w:val="007419C2"/>
    <w:rsid w:val="007427BF"/>
    <w:rsid w:val="00746B47"/>
    <w:rsid w:val="00747C19"/>
    <w:rsid w:val="0075566A"/>
    <w:rsid w:val="007638DC"/>
    <w:rsid w:val="007717C4"/>
    <w:rsid w:val="007727F7"/>
    <w:rsid w:val="00773CF6"/>
    <w:rsid w:val="007750F8"/>
    <w:rsid w:val="00776F01"/>
    <w:rsid w:val="007819DF"/>
    <w:rsid w:val="00783645"/>
    <w:rsid w:val="007869B3"/>
    <w:rsid w:val="007912D8"/>
    <w:rsid w:val="007915BD"/>
    <w:rsid w:val="00791B12"/>
    <w:rsid w:val="007954E3"/>
    <w:rsid w:val="00795622"/>
    <w:rsid w:val="00795D21"/>
    <w:rsid w:val="007A1F03"/>
    <w:rsid w:val="007A5AA4"/>
    <w:rsid w:val="007B261C"/>
    <w:rsid w:val="007B7146"/>
    <w:rsid w:val="007C2BF3"/>
    <w:rsid w:val="007D29D6"/>
    <w:rsid w:val="007D6FD3"/>
    <w:rsid w:val="007E4787"/>
    <w:rsid w:val="007E4870"/>
    <w:rsid w:val="007F2158"/>
    <w:rsid w:val="007F22A6"/>
    <w:rsid w:val="007F4344"/>
    <w:rsid w:val="007F7C25"/>
    <w:rsid w:val="00801B10"/>
    <w:rsid w:val="00806FC7"/>
    <w:rsid w:val="00816AB2"/>
    <w:rsid w:val="008231B6"/>
    <w:rsid w:val="008270B8"/>
    <w:rsid w:val="00837336"/>
    <w:rsid w:val="00837590"/>
    <w:rsid w:val="00843B82"/>
    <w:rsid w:val="00844758"/>
    <w:rsid w:val="008469BC"/>
    <w:rsid w:val="00846C4E"/>
    <w:rsid w:val="00851A51"/>
    <w:rsid w:val="00851DD2"/>
    <w:rsid w:val="008552B8"/>
    <w:rsid w:val="00856F34"/>
    <w:rsid w:val="00860537"/>
    <w:rsid w:val="00862188"/>
    <w:rsid w:val="008668AE"/>
    <w:rsid w:val="00871837"/>
    <w:rsid w:val="00872249"/>
    <w:rsid w:val="00872421"/>
    <w:rsid w:val="008725FA"/>
    <w:rsid w:val="00874CF3"/>
    <w:rsid w:val="0088188C"/>
    <w:rsid w:val="00881AF0"/>
    <w:rsid w:val="008840EA"/>
    <w:rsid w:val="00887298"/>
    <w:rsid w:val="00890022"/>
    <w:rsid w:val="00892F63"/>
    <w:rsid w:val="00897138"/>
    <w:rsid w:val="008A09A0"/>
    <w:rsid w:val="008A0C26"/>
    <w:rsid w:val="008A3097"/>
    <w:rsid w:val="008A3C8E"/>
    <w:rsid w:val="008B1E2F"/>
    <w:rsid w:val="008B472F"/>
    <w:rsid w:val="008B4967"/>
    <w:rsid w:val="008C0D42"/>
    <w:rsid w:val="008C2D54"/>
    <w:rsid w:val="008C3F18"/>
    <w:rsid w:val="008C5003"/>
    <w:rsid w:val="008C6C5B"/>
    <w:rsid w:val="008D11A3"/>
    <w:rsid w:val="008E2338"/>
    <w:rsid w:val="008E4152"/>
    <w:rsid w:val="008E5939"/>
    <w:rsid w:val="008E5BB8"/>
    <w:rsid w:val="008F1D19"/>
    <w:rsid w:val="008F33C2"/>
    <w:rsid w:val="008F57B4"/>
    <w:rsid w:val="008F71F5"/>
    <w:rsid w:val="009003B5"/>
    <w:rsid w:val="0090229D"/>
    <w:rsid w:val="009025FA"/>
    <w:rsid w:val="00903304"/>
    <w:rsid w:val="00904C5F"/>
    <w:rsid w:val="00905F39"/>
    <w:rsid w:val="00913B73"/>
    <w:rsid w:val="00917AF4"/>
    <w:rsid w:val="00924493"/>
    <w:rsid w:val="0093640E"/>
    <w:rsid w:val="00942DB3"/>
    <w:rsid w:val="009473D8"/>
    <w:rsid w:val="00964BFE"/>
    <w:rsid w:val="00973215"/>
    <w:rsid w:val="00974931"/>
    <w:rsid w:val="0097698A"/>
    <w:rsid w:val="009778E5"/>
    <w:rsid w:val="00977E60"/>
    <w:rsid w:val="009831D2"/>
    <w:rsid w:val="00984FCB"/>
    <w:rsid w:val="0098598B"/>
    <w:rsid w:val="009912D4"/>
    <w:rsid w:val="00995591"/>
    <w:rsid w:val="009A406D"/>
    <w:rsid w:val="009A4570"/>
    <w:rsid w:val="009A56A0"/>
    <w:rsid w:val="009B0386"/>
    <w:rsid w:val="009B195D"/>
    <w:rsid w:val="009B1C8D"/>
    <w:rsid w:val="009B2DFB"/>
    <w:rsid w:val="009B3355"/>
    <w:rsid w:val="009B41E1"/>
    <w:rsid w:val="009B62BE"/>
    <w:rsid w:val="009B6572"/>
    <w:rsid w:val="009C1889"/>
    <w:rsid w:val="009C1DC7"/>
    <w:rsid w:val="009C294B"/>
    <w:rsid w:val="009C6C2B"/>
    <w:rsid w:val="009D3263"/>
    <w:rsid w:val="009D6711"/>
    <w:rsid w:val="009D6C6E"/>
    <w:rsid w:val="009D7A5B"/>
    <w:rsid w:val="009D7F61"/>
    <w:rsid w:val="009E4BE6"/>
    <w:rsid w:val="009E7C9E"/>
    <w:rsid w:val="009F1950"/>
    <w:rsid w:val="009F215F"/>
    <w:rsid w:val="009F602D"/>
    <w:rsid w:val="009F6746"/>
    <w:rsid w:val="00A01618"/>
    <w:rsid w:val="00A045AC"/>
    <w:rsid w:val="00A14AA8"/>
    <w:rsid w:val="00A15EBF"/>
    <w:rsid w:val="00A22B2F"/>
    <w:rsid w:val="00A35BF3"/>
    <w:rsid w:val="00A445C8"/>
    <w:rsid w:val="00A4483B"/>
    <w:rsid w:val="00A45E14"/>
    <w:rsid w:val="00A52C78"/>
    <w:rsid w:val="00A5389A"/>
    <w:rsid w:val="00A550CD"/>
    <w:rsid w:val="00A67E87"/>
    <w:rsid w:val="00A70249"/>
    <w:rsid w:val="00A73096"/>
    <w:rsid w:val="00A7675E"/>
    <w:rsid w:val="00A82787"/>
    <w:rsid w:val="00A83053"/>
    <w:rsid w:val="00A87CA8"/>
    <w:rsid w:val="00A92E30"/>
    <w:rsid w:val="00A93914"/>
    <w:rsid w:val="00AA3593"/>
    <w:rsid w:val="00AA5517"/>
    <w:rsid w:val="00AA7266"/>
    <w:rsid w:val="00AB2853"/>
    <w:rsid w:val="00AB3848"/>
    <w:rsid w:val="00AB3DFA"/>
    <w:rsid w:val="00AB6ED0"/>
    <w:rsid w:val="00AC089E"/>
    <w:rsid w:val="00AC11AE"/>
    <w:rsid w:val="00AC2355"/>
    <w:rsid w:val="00AC26AE"/>
    <w:rsid w:val="00AC2869"/>
    <w:rsid w:val="00AC4472"/>
    <w:rsid w:val="00AC45BD"/>
    <w:rsid w:val="00AC6061"/>
    <w:rsid w:val="00AD2300"/>
    <w:rsid w:val="00AD7131"/>
    <w:rsid w:val="00AD7B6E"/>
    <w:rsid w:val="00AE067C"/>
    <w:rsid w:val="00AE23D7"/>
    <w:rsid w:val="00AF1A72"/>
    <w:rsid w:val="00AF3020"/>
    <w:rsid w:val="00AF42FE"/>
    <w:rsid w:val="00AF5904"/>
    <w:rsid w:val="00AF7EAE"/>
    <w:rsid w:val="00B01A97"/>
    <w:rsid w:val="00B11C93"/>
    <w:rsid w:val="00B11CDF"/>
    <w:rsid w:val="00B15F3E"/>
    <w:rsid w:val="00B218F6"/>
    <w:rsid w:val="00B219DB"/>
    <w:rsid w:val="00B230F2"/>
    <w:rsid w:val="00B239A4"/>
    <w:rsid w:val="00B24B85"/>
    <w:rsid w:val="00B24F97"/>
    <w:rsid w:val="00B26A3F"/>
    <w:rsid w:val="00B31586"/>
    <w:rsid w:val="00B35D4E"/>
    <w:rsid w:val="00B4597E"/>
    <w:rsid w:val="00B510E5"/>
    <w:rsid w:val="00B51C52"/>
    <w:rsid w:val="00B546D6"/>
    <w:rsid w:val="00B62B03"/>
    <w:rsid w:val="00B65D61"/>
    <w:rsid w:val="00B67395"/>
    <w:rsid w:val="00B714EF"/>
    <w:rsid w:val="00B816A0"/>
    <w:rsid w:val="00B81F4E"/>
    <w:rsid w:val="00B868C9"/>
    <w:rsid w:val="00B87C87"/>
    <w:rsid w:val="00B93407"/>
    <w:rsid w:val="00B950C6"/>
    <w:rsid w:val="00BA45B0"/>
    <w:rsid w:val="00BB0D9D"/>
    <w:rsid w:val="00BC1939"/>
    <w:rsid w:val="00BC1F02"/>
    <w:rsid w:val="00BC2104"/>
    <w:rsid w:val="00BC3080"/>
    <w:rsid w:val="00BC3E9C"/>
    <w:rsid w:val="00BD15F2"/>
    <w:rsid w:val="00BD497A"/>
    <w:rsid w:val="00BD62C9"/>
    <w:rsid w:val="00BE71BE"/>
    <w:rsid w:val="00BF0A67"/>
    <w:rsid w:val="00BF12B5"/>
    <w:rsid w:val="00BF18E6"/>
    <w:rsid w:val="00BF37AA"/>
    <w:rsid w:val="00C0005F"/>
    <w:rsid w:val="00C00529"/>
    <w:rsid w:val="00C05B9D"/>
    <w:rsid w:val="00C0701B"/>
    <w:rsid w:val="00C0757F"/>
    <w:rsid w:val="00C079F9"/>
    <w:rsid w:val="00C10B51"/>
    <w:rsid w:val="00C1580E"/>
    <w:rsid w:val="00C23BEF"/>
    <w:rsid w:val="00C279FC"/>
    <w:rsid w:val="00C301E3"/>
    <w:rsid w:val="00C3780F"/>
    <w:rsid w:val="00C405C6"/>
    <w:rsid w:val="00C414A8"/>
    <w:rsid w:val="00C50045"/>
    <w:rsid w:val="00C51E35"/>
    <w:rsid w:val="00C52BD2"/>
    <w:rsid w:val="00C54921"/>
    <w:rsid w:val="00C61359"/>
    <w:rsid w:val="00C61C70"/>
    <w:rsid w:val="00C62F48"/>
    <w:rsid w:val="00C76A71"/>
    <w:rsid w:val="00C76C47"/>
    <w:rsid w:val="00C8138F"/>
    <w:rsid w:val="00C84798"/>
    <w:rsid w:val="00C878F4"/>
    <w:rsid w:val="00C900BC"/>
    <w:rsid w:val="00C95E53"/>
    <w:rsid w:val="00C96C21"/>
    <w:rsid w:val="00CA2560"/>
    <w:rsid w:val="00CA4C4A"/>
    <w:rsid w:val="00CA5100"/>
    <w:rsid w:val="00CA73F5"/>
    <w:rsid w:val="00CB1709"/>
    <w:rsid w:val="00CB5168"/>
    <w:rsid w:val="00CB58FE"/>
    <w:rsid w:val="00CB796C"/>
    <w:rsid w:val="00CC2E88"/>
    <w:rsid w:val="00CC76EB"/>
    <w:rsid w:val="00CC7AE7"/>
    <w:rsid w:val="00CD55CE"/>
    <w:rsid w:val="00CD6D3A"/>
    <w:rsid w:val="00CE2FF6"/>
    <w:rsid w:val="00CE332B"/>
    <w:rsid w:val="00CE55D5"/>
    <w:rsid w:val="00CE6111"/>
    <w:rsid w:val="00CE7EEC"/>
    <w:rsid w:val="00CF0CE2"/>
    <w:rsid w:val="00CF1237"/>
    <w:rsid w:val="00CF15DF"/>
    <w:rsid w:val="00D03828"/>
    <w:rsid w:val="00D07F40"/>
    <w:rsid w:val="00D1398D"/>
    <w:rsid w:val="00D142C3"/>
    <w:rsid w:val="00D14CBD"/>
    <w:rsid w:val="00D238CA"/>
    <w:rsid w:val="00D2784D"/>
    <w:rsid w:val="00D27CFA"/>
    <w:rsid w:val="00D343F0"/>
    <w:rsid w:val="00D42877"/>
    <w:rsid w:val="00D42B30"/>
    <w:rsid w:val="00D45FB0"/>
    <w:rsid w:val="00D46C96"/>
    <w:rsid w:val="00D51302"/>
    <w:rsid w:val="00D53959"/>
    <w:rsid w:val="00D55B35"/>
    <w:rsid w:val="00D62002"/>
    <w:rsid w:val="00D65677"/>
    <w:rsid w:val="00D665C8"/>
    <w:rsid w:val="00D7105B"/>
    <w:rsid w:val="00D76ACF"/>
    <w:rsid w:val="00D770F2"/>
    <w:rsid w:val="00D84952"/>
    <w:rsid w:val="00D85872"/>
    <w:rsid w:val="00D86A7F"/>
    <w:rsid w:val="00D90220"/>
    <w:rsid w:val="00D927C5"/>
    <w:rsid w:val="00D9312A"/>
    <w:rsid w:val="00D9363A"/>
    <w:rsid w:val="00D96CD0"/>
    <w:rsid w:val="00D9772B"/>
    <w:rsid w:val="00DA1223"/>
    <w:rsid w:val="00DA330D"/>
    <w:rsid w:val="00DA3BC3"/>
    <w:rsid w:val="00DA4638"/>
    <w:rsid w:val="00DB0B49"/>
    <w:rsid w:val="00DB298F"/>
    <w:rsid w:val="00DB3364"/>
    <w:rsid w:val="00DB427A"/>
    <w:rsid w:val="00DB4468"/>
    <w:rsid w:val="00DB49BD"/>
    <w:rsid w:val="00DB5CF5"/>
    <w:rsid w:val="00DC0850"/>
    <w:rsid w:val="00DC3021"/>
    <w:rsid w:val="00DC306D"/>
    <w:rsid w:val="00DD1509"/>
    <w:rsid w:val="00DD5807"/>
    <w:rsid w:val="00DE19DA"/>
    <w:rsid w:val="00DE3A5D"/>
    <w:rsid w:val="00DE5FBB"/>
    <w:rsid w:val="00DF09C1"/>
    <w:rsid w:val="00DF6335"/>
    <w:rsid w:val="00E06800"/>
    <w:rsid w:val="00E1794B"/>
    <w:rsid w:val="00E17ED6"/>
    <w:rsid w:val="00E251EF"/>
    <w:rsid w:val="00E30474"/>
    <w:rsid w:val="00E3210F"/>
    <w:rsid w:val="00E34527"/>
    <w:rsid w:val="00E3534D"/>
    <w:rsid w:val="00E35BCB"/>
    <w:rsid w:val="00E36F8F"/>
    <w:rsid w:val="00E43E34"/>
    <w:rsid w:val="00E44EEA"/>
    <w:rsid w:val="00E47115"/>
    <w:rsid w:val="00E52677"/>
    <w:rsid w:val="00E528D9"/>
    <w:rsid w:val="00E546DF"/>
    <w:rsid w:val="00E556B5"/>
    <w:rsid w:val="00E55DF4"/>
    <w:rsid w:val="00E6030D"/>
    <w:rsid w:val="00E61295"/>
    <w:rsid w:val="00E63A5F"/>
    <w:rsid w:val="00E655BD"/>
    <w:rsid w:val="00E67B84"/>
    <w:rsid w:val="00E70364"/>
    <w:rsid w:val="00E70C20"/>
    <w:rsid w:val="00E70ED2"/>
    <w:rsid w:val="00E7680F"/>
    <w:rsid w:val="00E768FB"/>
    <w:rsid w:val="00E900CA"/>
    <w:rsid w:val="00E90C17"/>
    <w:rsid w:val="00E90F00"/>
    <w:rsid w:val="00E91383"/>
    <w:rsid w:val="00E919DA"/>
    <w:rsid w:val="00E91B47"/>
    <w:rsid w:val="00E942C8"/>
    <w:rsid w:val="00E95AB9"/>
    <w:rsid w:val="00E969E1"/>
    <w:rsid w:val="00EA2091"/>
    <w:rsid w:val="00EA4DBA"/>
    <w:rsid w:val="00EA58CB"/>
    <w:rsid w:val="00EB0E34"/>
    <w:rsid w:val="00EB1442"/>
    <w:rsid w:val="00EB1488"/>
    <w:rsid w:val="00EB6A43"/>
    <w:rsid w:val="00EB6FD9"/>
    <w:rsid w:val="00EB7372"/>
    <w:rsid w:val="00ED0DA3"/>
    <w:rsid w:val="00ED3093"/>
    <w:rsid w:val="00EE170E"/>
    <w:rsid w:val="00EE43BE"/>
    <w:rsid w:val="00EE6125"/>
    <w:rsid w:val="00EE7AD9"/>
    <w:rsid w:val="00EF0D20"/>
    <w:rsid w:val="00EF27CF"/>
    <w:rsid w:val="00EF448D"/>
    <w:rsid w:val="00F02F8C"/>
    <w:rsid w:val="00F07110"/>
    <w:rsid w:val="00F078FC"/>
    <w:rsid w:val="00F13F09"/>
    <w:rsid w:val="00F163BE"/>
    <w:rsid w:val="00F21966"/>
    <w:rsid w:val="00F219FD"/>
    <w:rsid w:val="00F2296B"/>
    <w:rsid w:val="00F22EC0"/>
    <w:rsid w:val="00F27187"/>
    <w:rsid w:val="00F31B7A"/>
    <w:rsid w:val="00F3291F"/>
    <w:rsid w:val="00F354E8"/>
    <w:rsid w:val="00F35B48"/>
    <w:rsid w:val="00F36CA1"/>
    <w:rsid w:val="00F40EF5"/>
    <w:rsid w:val="00F609EF"/>
    <w:rsid w:val="00F60BF5"/>
    <w:rsid w:val="00F61C1A"/>
    <w:rsid w:val="00F62DEE"/>
    <w:rsid w:val="00F67B98"/>
    <w:rsid w:val="00F703CA"/>
    <w:rsid w:val="00F74783"/>
    <w:rsid w:val="00F74823"/>
    <w:rsid w:val="00F80464"/>
    <w:rsid w:val="00F81B61"/>
    <w:rsid w:val="00F83413"/>
    <w:rsid w:val="00F85A7B"/>
    <w:rsid w:val="00F941E4"/>
    <w:rsid w:val="00F94C04"/>
    <w:rsid w:val="00FA05AA"/>
    <w:rsid w:val="00FA6469"/>
    <w:rsid w:val="00FA7190"/>
    <w:rsid w:val="00FA7B10"/>
    <w:rsid w:val="00FB36DD"/>
    <w:rsid w:val="00FB533F"/>
    <w:rsid w:val="00FB66ED"/>
    <w:rsid w:val="00FC0255"/>
    <w:rsid w:val="00FC1710"/>
    <w:rsid w:val="00FC3197"/>
    <w:rsid w:val="00FC7C47"/>
    <w:rsid w:val="00FD5C23"/>
    <w:rsid w:val="00FD6026"/>
    <w:rsid w:val="00FD6BD7"/>
    <w:rsid w:val="00FD7481"/>
    <w:rsid w:val="00FE024B"/>
    <w:rsid w:val="00FE3EAF"/>
    <w:rsid w:val="00FE5A61"/>
    <w:rsid w:val="00FF29C6"/>
    <w:rsid w:val="00FF3C17"/>
    <w:rsid w:val="00FF607A"/>
    <w:rsid w:val="00FF6CC4"/>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5c7f92"/>
    </o:shapedefaults>
    <o:shapelayout v:ext="edit">
      <o:idmap v:ext="edit" data="1"/>
    </o:shapelayout>
  </w:shapeDefaults>
  <w:decimalSymbol w:val="."/>
  <w:listSeparator w:val=","/>
  <w14:docId w14:val="78FED61B"/>
  <w15:docId w15:val="{3364F742-C482-4AC4-A41F-ECBD016AF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libri" w:hAnsi="Cambria"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304"/>
    <w:pPr>
      <w:spacing w:before="240" w:after="200" w:line="276" w:lineRule="auto"/>
    </w:pPr>
    <w:rPr>
      <w:rFonts w:ascii="Gill Sans Light" w:hAnsi="Gill Sans Light"/>
      <w:sz w:val="24"/>
      <w:szCs w:val="22"/>
      <w:lang w:eastAsia="en-US"/>
    </w:rPr>
  </w:style>
  <w:style w:type="paragraph" w:styleId="Heading1">
    <w:name w:val="heading 1"/>
    <w:basedOn w:val="Heading2"/>
    <w:next w:val="Normal"/>
    <w:link w:val="Heading1Char"/>
    <w:uiPriority w:val="9"/>
    <w:qFormat/>
    <w:rsid w:val="000E3F87"/>
    <w:pPr>
      <w:spacing w:before="0"/>
      <w:outlineLvl w:val="0"/>
    </w:pPr>
    <w:rPr>
      <w:caps/>
      <w:color w:val="94A545"/>
      <w:sz w:val="44"/>
    </w:rPr>
  </w:style>
  <w:style w:type="paragraph" w:styleId="Heading2">
    <w:name w:val="heading 2"/>
    <w:basedOn w:val="Normal"/>
    <w:next w:val="Normal"/>
    <w:link w:val="Heading2Char"/>
    <w:qFormat/>
    <w:rsid w:val="00904C5F"/>
    <w:pPr>
      <w:keepNext/>
      <w:spacing w:after="0"/>
      <w:outlineLvl w:val="1"/>
    </w:pPr>
    <w:rPr>
      <w:rFonts w:ascii="Gill Sans MT" w:eastAsia="Times New Roman" w:hAnsi="Gill Sans MT"/>
      <w:bCs/>
      <w:iCs/>
      <w:color w:val="5C7F92"/>
      <w:sz w:val="32"/>
      <w:szCs w:val="28"/>
    </w:rPr>
  </w:style>
  <w:style w:type="paragraph" w:styleId="Heading3">
    <w:name w:val="heading 3"/>
    <w:basedOn w:val="Normal"/>
    <w:next w:val="Normal"/>
    <w:link w:val="Heading3Char"/>
    <w:qFormat/>
    <w:rsid w:val="005B295C"/>
    <w:pPr>
      <w:keepNext/>
      <w:spacing w:after="60"/>
      <w:outlineLvl w:val="2"/>
    </w:pPr>
    <w:rPr>
      <w:rFonts w:ascii="Gill Sans" w:eastAsia="Times New Roman" w:hAnsi="Gill Sans"/>
      <w:bCs/>
      <w:caps/>
      <w:color w:val="5C7F92"/>
      <w:szCs w:val="26"/>
    </w:rPr>
  </w:style>
  <w:style w:type="paragraph" w:styleId="Heading4">
    <w:name w:val="heading 4"/>
    <w:basedOn w:val="Normal"/>
    <w:next w:val="Normal"/>
    <w:link w:val="Heading4Char"/>
    <w:uiPriority w:val="9"/>
    <w:qFormat/>
    <w:rsid w:val="005B295C"/>
    <w:pPr>
      <w:keepNext/>
      <w:spacing w:after="60"/>
      <w:outlineLvl w:val="3"/>
    </w:pPr>
    <w:rPr>
      <w:rFonts w:ascii="Gill Sans" w:eastAsia="Times New Roman" w:hAnsi="Gill Sans"/>
      <w:bCs/>
      <w:color w:val="94A545"/>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04C5F"/>
    <w:rPr>
      <w:rFonts w:ascii="Gill Sans MT" w:eastAsia="Times New Roman" w:hAnsi="Gill Sans MT"/>
      <w:bCs/>
      <w:iCs/>
      <w:color w:val="5C7F92"/>
      <w:sz w:val="32"/>
      <w:szCs w:val="28"/>
      <w:lang w:eastAsia="en-US"/>
    </w:rPr>
  </w:style>
  <w:style w:type="character" w:customStyle="1" w:styleId="Heading1Char">
    <w:name w:val="Heading 1 Char"/>
    <w:basedOn w:val="DefaultParagraphFont"/>
    <w:link w:val="Heading1"/>
    <w:uiPriority w:val="9"/>
    <w:rsid w:val="000E3F87"/>
    <w:rPr>
      <w:rFonts w:ascii="Gill Sans MT" w:eastAsia="Times New Roman" w:hAnsi="Gill Sans MT"/>
      <w:b/>
      <w:bCs/>
      <w:iCs/>
      <w:color w:val="94A545"/>
      <w:sz w:val="44"/>
      <w:szCs w:val="28"/>
      <w:lang w:eastAsia="en-US"/>
    </w:rPr>
  </w:style>
  <w:style w:type="character" w:customStyle="1" w:styleId="Heading3Char">
    <w:name w:val="Heading 3 Char"/>
    <w:basedOn w:val="DefaultParagraphFont"/>
    <w:link w:val="Heading3"/>
    <w:rsid w:val="005B295C"/>
    <w:rPr>
      <w:rFonts w:ascii="Gill Sans" w:eastAsia="Times New Roman" w:hAnsi="Gill Sans"/>
      <w:bCs/>
      <w:caps/>
      <w:color w:val="5C7F92"/>
      <w:sz w:val="24"/>
      <w:szCs w:val="26"/>
    </w:rPr>
  </w:style>
  <w:style w:type="character" w:customStyle="1" w:styleId="Heading4Char">
    <w:name w:val="Heading 4 Char"/>
    <w:basedOn w:val="DefaultParagraphFont"/>
    <w:link w:val="Heading4"/>
    <w:uiPriority w:val="9"/>
    <w:rsid w:val="005B295C"/>
    <w:rPr>
      <w:rFonts w:ascii="Gill Sans" w:eastAsia="Times New Roman" w:hAnsi="Gill Sans" w:cs="Times New Roman"/>
      <w:bCs/>
      <w:color w:val="94A545"/>
      <w:sz w:val="24"/>
      <w:szCs w:val="28"/>
    </w:rPr>
  </w:style>
  <w:style w:type="paragraph" w:customStyle="1" w:styleId="Bullets">
    <w:name w:val="Bullets"/>
    <w:basedOn w:val="Normal"/>
    <w:qFormat/>
    <w:rsid w:val="00632379"/>
    <w:pPr>
      <w:numPr>
        <w:numId w:val="21"/>
      </w:numPr>
      <w:spacing w:before="0" w:after="240" w:line="240" w:lineRule="auto"/>
      <w:contextualSpacing/>
    </w:pPr>
  </w:style>
  <w:style w:type="paragraph" w:styleId="TOC1">
    <w:name w:val="toc 1"/>
    <w:basedOn w:val="Normal"/>
    <w:next w:val="Normal"/>
    <w:autoRedefine/>
    <w:uiPriority w:val="39"/>
    <w:semiHidden/>
    <w:unhideWhenUsed/>
    <w:rsid w:val="00CD3A1B"/>
    <w:pPr>
      <w:spacing w:after="120"/>
    </w:pPr>
    <w:rPr>
      <w:caps/>
      <w:sz w:val="32"/>
    </w:rPr>
  </w:style>
  <w:style w:type="paragraph" w:styleId="Header">
    <w:name w:val="header"/>
    <w:basedOn w:val="Normal"/>
    <w:link w:val="HeaderChar"/>
    <w:uiPriority w:val="99"/>
    <w:unhideWhenUsed/>
    <w:rsid w:val="00BE6ED9"/>
    <w:pPr>
      <w:tabs>
        <w:tab w:val="center" w:pos="4320"/>
        <w:tab w:val="right" w:pos="8640"/>
      </w:tabs>
      <w:spacing w:after="0" w:line="240" w:lineRule="auto"/>
    </w:pPr>
    <w:rPr>
      <w:rFonts w:ascii="Gill Sans" w:hAnsi="Gill Sans"/>
      <w:caps/>
      <w:noProof/>
      <w:color w:val="94A545"/>
      <w:lang w:val="en-US"/>
    </w:rPr>
  </w:style>
  <w:style w:type="character" w:customStyle="1" w:styleId="HeaderChar">
    <w:name w:val="Header Char"/>
    <w:basedOn w:val="DefaultParagraphFont"/>
    <w:link w:val="Header"/>
    <w:uiPriority w:val="99"/>
    <w:rsid w:val="00BE6ED9"/>
    <w:rPr>
      <w:rFonts w:ascii="Gill Sans" w:hAnsi="Gill Sans"/>
      <w:caps/>
      <w:noProof/>
      <w:color w:val="94A545"/>
      <w:sz w:val="22"/>
      <w:szCs w:val="22"/>
      <w:lang w:val="en-US"/>
    </w:rPr>
  </w:style>
  <w:style w:type="paragraph" w:styleId="Footer">
    <w:name w:val="footer"/>
    <w:basedOn w:val="Normal"/>
    <w:link w:val="FooterChar"/>
    <w:uiPriority w:val="99"/>
    <w:unhideWhenUsed/>
    <w:rsid w:val="008F57B4"/>
    <w:pPr>
      <w:tabs>
        <w:tab w:val="center" w:pos="4320"/>
        <w:tab w:val="right" w:pos="8640"/>
      </w:tabs>
      <w:spacing w:after="0" w:line="240" w:lineRule="auto"/>
    </w:pPr>
  </w:style>
  <w:style w:type="character" w:customStyle="1" w:styleId="FooterChar">
    <w:name w:val="Footer Char"/>
    <w:basedOn w:val="DefaultParagraphFont"/>
    <w:link w:val="Footer"/>
    <w:uiPriority w:val="99"/>
    <w:rsid w:val="008F57B4"/>
    <w:rPr>
      <w:rFonts w:ascii="Gill Sans Light" w:hAnsi="Gill Sans Light" w:cs="Times New Roman"/>
      <w:sz w:val="22"/>
      <w:szCs w:val="22"/>
      <w:lang w:val="en-AU"/>
    </w:rPr>
  </w:style>
  <w:style w:type="character" w:styleId="PageNumber">
    <w:name w:val="page number"/>
    <w:basedOn w:val="DefaultParagraphFont"/>
    <w:uiPriority w:val="99"/>
    <w:semiHidden/>
    <w:unhideWhenUsed/>
    <w:rsid w:val="00260814"/>
  </w:style>
  <w:style w:type="paragraph" w:customStyle="1" w:styleId="Numberedlist">
    <w:name w:val="Numbered list"/>
    <w:qFormat/>
    <w:rsid w:val="00632379"/>
    <w:pPr>
      <w:numPr>
        <w:numId w:val="17"/>
      </w:numPr>
      <w:spacing w:after="60"/>
    </w:pPr>
    <w:rPr>
      <w:rFonts w:ascii="Gill Sans Light" w:hAnsi="Gill Sans Light"/>
      <w:sz w:val="22"/>
      <w:szCs w:val="22"/>
      <w:lang w:eastAsia="en-US"/>
    </w:rPr>
  </w:style>
  <w:style w:type="paragraph" w:customStyle="1" w:styleId="Maincoverheader">
    <w:name w:val="Main cover header"/>
    <w:basedOn w:val="Heading1"/>
    <w:link w:val="MaincoverheaderChar"/>
    <w:autoRedefine/>
    <w:qFormat/>
    <w:rsid w:val="008A3C8E"/>
    <w:rPr>
      <w:rFonts w:ascii="GillSans" w:hAnsi="GillSans"/>
      <w:b/>
      <w:szCs w:val="44"/>
    </w:rPr>
  </w:style>
  <w:style w:type="paragraph" w:customStyle="1" w:styleId="Secondcoverheader">
    <w:name w:val="Second cover header"/>
    <w:basedOn w:val="Heading2"/>
    <w:link w:val="SecondcoverheaderChar"/>
    <w:qFormat/>
    <w:rsid w:val="00242AFD"/>
    <w:rPr>
      <w:b/>
    </w:rPr>
  </w:style>
  <w:style w:type="character" w:customStyle="1" w:styleId="MaincoverheaderChar">
    <w:name w:val="Main cover header Char"/>
    <w:basedOn w:val="Heading1Char"/>
    <w:link w:val="Maincoverheader"/>
    <w:rsid w:val="008A3C8E"/>
    <w:rPr>
      <w:rFonts w:ascii="GillSans" w:eastAsia="Times New Roman" w:hAnsi="GillSans"/>
      <w:b w:val="0"/>
      <w:bCs/>
      <w:iCs/>
      <w:color w:val="94A545"/>
      <w:sz w:val="44"/>
      <w:szCs w:val="44"/>
      <w:lang w:eastAsia="en-US"/>
    </w:rPr>
  </w:style>
  <w:style w:type="paragraph" w:customStyle="1" w:styleId="Footertext">
    <w:name w:val="Footer text"/>
    <w:basedOn w:val="Footer"/>
    <w:link w:val="FootertextChar"/>
    <w:autoRedefine/>
    <w:qFormat/>
    <w:rsid w:val="007427BF"/>
    <w:pPr>
      <w:spacing w:before="0"/>
    </w:pPr>
  </w:style>
  <w:style w:type="character" w:customStyle="1" w:styleId="SecondcoverheaderChar">
    <w:name w:val="Second cover header Char"/>
    <w:basedOn w:val="Heading2Char"/>
    <w:link w:val="Secondcoverheader"/>
    <w:rsid w:val="00242AFD"/>
    <w:rPr>
      <w:rFonts w:ascii="Gill Sans" w:eastAsia="Times New Roman" w:hAnsi="Gill Sans"/>
      <w:b w:val="0"/>
      <w:bCs/>
      <w:iCs/>
      <w:caps w:val="0"/>
      <w:color w:val="5C7F92"/>
      <w:sz w:val="32"/>
      <w:szCs w:val="28"/>
      <w:lang w:eastAsia="en-US"/>
    </w:rPr>
  </w:style>
  <w:style w:type="character" w:customStyle="1" w:styleId="FootertextChar">
    <w:name w:val="Footer text Char"/>
    <w:basedOn w:val="FooterChar"/>
    <w:link w:val="Footertext"/>
    <w:rsid w:val="007427BF"/>
    <w:rPr>
      <w:rFonts w:ascii="Gill Sans Light" w:hAnsi="Gill Sans Light" w:cs="Times New Roman"/>
      <w:sz w:val="24"/>
      <w:szCs w:val="22"/>
      <w:lang w:val="en-AU" w:eastAsia="en-US"/>
    </w:rPr>
  </w:style>
  <w:style w:type="paragraph" w:customStyle="1" w:styleId="Ahheading2">
    <w:name w:val="Ah heading 2"/>
    <w:basedOn w:val="Normal"/>
    <w:autoRedefine/>
    <w:uiPriority w:val="99"/>
    <w:rsid w:val="008C2D54"/>
    <w:pPr>
      <w:spacing w:before="0" w:after="240" w:line="240" w:lineRule="auto"/>
    </w:pPr>
    <w:rPr>
      <w:rFonts w:ascii="Arial" w:eastAsia="Times New Roman" w:hAnsi="Arial" w:cs="Arial"/>
      <w:b/>
      <w:bCs/>
      <w:sz w:val="32"/>
      <w:szCs w:val="32"/>
    </w:rPr>
  </w:style>
  <w:style w:type="paragraph" w:styleId="BodyTextIndent2">
    <w:name w:val="Body Text Indent 2"/>
    <w:basedOn w:val="Normal"/>
    <w:link w:val="BodyTextIndent2Char"/>
    <w:unhideWhenUsed/>
    <w:rsid w:val="008C2D54"/>
    <w:pPr>
      <w:tabs>
        <w:tab w:val="left" w:pos="1843"/>
      </w:tabs>
      <w:overflowPunct w:val="0"/>
      <w:autoSpaceDE w:val="0"/>
      <w:autoSpaceDN w:val="0"/>
      <w:adjustRightInd w:val="0"/>
      <w:spacing w:before="0" w:after="0" w:line="240" w:lineRule="auto"/>
      <w:ind w:left="1843" w:hanging="425"/>
      <w:jc w:val="both"/>
    </w:pPr>
    <w:rPr>
      <w:rFonts w:ascii="Times New Roman" w:eastAsia="Times New Roman" w:hAnsi="Times New Roman"/>
      <w:szCs w:val="20"/>
    </w:rPr>
  </w:style>
  <w:style w:type="character" w:customStyle="1" w:styleId="BodyTextIndent2Char">
    <w:name w:val="Body Text Indent 2 Char"/>
    <w:basedOn w:val="DefaultParagraphFont"/>
    <w:link w:val="BodyTextIndent2"/>
    <w:rsid w:val="008C2D54"/>
    <w:rPr>
      <w:rFonts w:ascii="Times New Roman" w:eastAsia="Times New Roman" w:hAnsi="Times New Roman"/>
      <w:sz w:val="24"/>
      <w:lang w:eastAsia="en-US"/>
    </w:rPr>
  </w:style>
  <w:style w:type="character" w:styleId="CommentReference">
    <w:name w:val="annotation reference"/>
    <w:basedOn w:val="DefaultParagraphFont"/>
    <w:uiPriority w:val="99"/>
    <w:semiHidden/>
    <w:unhideWhenUsed/>
    <w:rsid w:val="00973215"/>
    <w:rPr>
      <w:sz w:val="16"/>
      <w:szCs w:val="16"/>
    </w:rPr>
  </w:style>
  <w:style w:type="paragraph" w:styleId="CommentText">
    <w:name w:val="annotation text"/>
    <w:basedOn w:val="Normal"/>
    <w:link w:val="CommentTextChar"/>
    <w:uiPriority w:val="99"/>
    <w:semiHidden/>
    <w:unhideWhenUsed/>
    <w:rsid w:val="00973215"/>
    <w:pPr>
      <w:spacing w:line="240" w:lineRule="auto"/>
    </w:pPr>
    <w:rPr>
      <w:sz w:val="20"/>
      <w:szCs w:val="20"/>
    </w:rPr>
  </w:style>
  <w:style w:type="character" w:customStyle="1" w:styleId="CommentTextChar">
    <w:name w:val="Comment Text Char"/>
    <w:basedOn w:val="DefaultParagraphFont"/>
    <w:link w:val="CommentText"/>
    <w:uiPriority w:val="99"/>
    <w:semiHidden/>
    <w:rsid w:val="00973215"/>
    <w:rPr>
      <w:rFonts w:ascii="Gill Sans Light" w:hAnsi="Gill Sans Light"/>
      <w:lang w:eastAsia="en-US"/>
    </w:rPr>
  </w:style>
  <w:style w:type="paragraph" w:styleId="CommentSubject">
    <w:name w:val="annotation subject"/>
    <w:basedOn w:val="CommentText"/>
    <w:next w:val="CommentText"/>
    <w:link w:val="CommentSubjectChar"/>
    <w:uiPriority w:val="99"/>
    <w:semiHidden/>
    <w:unhideWhenUsed/>
    <w:rsid w:val="00973215"/>
    <w:rPr>
      <w:b/>
      <w:bCs/>
    </w:rPr>
  </w:style>
  <w:style w:type="character" w:customStyle="1" w:styleId="CommentSubjectChar">
    <w:name w:val="Comment Subject Char"/>
    <w:basedOn w:val="CommentTextChar"/>
    <w:link w:val="CommentSubject"/>
    <w:uiPriority w:val="99"/>
    <w:semiHidden/>
    <w:rsid w:val="00973215"/>
    <w:rPr>
      <w:rFonts w:ascii="Gill Sans Light" w:hAnsi="Gill Sans Light"/>
      <w:b/>
      <w:bCs/>
      <w:lang w:eastAsia="en-US"/>
    </w:rPr>
  </w:style>
  <w:style w:type="paragraph" w:styleId="BalloonText">
    <w:name w:val="Balloon Text"/>
    <w:basedOn w:val="Normal"/>
    <w:link w:val="BalloonTextChar"/>
    <w:uiPriority w:val="99"/>
    <w:semiHidden/>
    <w:unhideWhenUsed/>
    <w:rsid w:val="00973215"/>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215"/>
    <w:rPr>
      <w:rFonts w:ascii="Tahoma" w:hAnsi="Tahoma" w:cs="Tahoma"/>
      <w:sz w:val="16"/>
      <w:szCs w:val="16"/>
      <w:lang w:eastAsia="en-US"/>
    </w:rPr>
  </w:style>
  <w:style w:type="paragraph" w:styleId="ListParagraph">
    <w:name w:val="List Paragraph"/>
    <w:basedOn w:val="Normal"/>
    <w:uiPriority w:val="34"/>
    <w:qFormat/>
    <w:rsid w:val="00F61C1A"/>
    <w:pPr>
      <w:ind w:left="720"/>
      <w:contextualSpacing/>
    </w:pPr>
  </w:style>
  <w:style w:type="paragraph" w:styleId="NormalWeb">
    <w:name w:val="Normal (Web)"/>
    <w:basedOn w:val="Normal"/>
    <w:uiPriority w:val="99"/>
    <w:semiHidden/>
    <w:unhideWhenUsed/>
    <w:rsid w:val="00E655BD"/>
    <w:pPr>
      <w:spacing w:before="100" w:beforeAutospacing="1" w:after="100" w:afterAutospacing="1" w:line="240" w:lineRule="auto"/>
    </w:pPr>
    <w:rPr>
      <w:rFonts w:ascii="Times New Roman" w:eastAsia="Times New Roman" w:hAnsi="Times New Roman"/>
      <w:szCs w:val="24"/>
      <w:lang w:eastAsia="en-AU"/>
    </w:rPr>
  </w:style>
  <w:style w:type="character" w:styleId="Hyperlink">
    <w:name w:val="Hyperlink"/>
    <w:basedOn w:val="DefaultParagraphFont"/>
    <w:uiPriority w:val="99"/>
    <w:unhideWhenUsed/>
    <w:rsid w:val="00E556B5"/>
    <w:rPr>
      <w:strike w:val="0"/>
      <w:dstrike w:val="0"/>
      <w:color w:val="002B99"/>
      <w:u w:val="none"/>
      <w:effect w:val="none"/>
    </w:rPr>
  </w:style>
  <w:style w:type="paragraph" w:styleId="Subtitle">
    <w:name w:val="Subtitle"/>
    <w:basedOn w:val="Normal"/>
    <w:link w:val="SubtitleChar"/>
    <w:qFormat/>
    <w:rsid w:val="00D142C3"/>
    <w:pPr>
      <w:spacing w:before="0" w:after="0" w:line="240" w:lineRule="auto"/>
      <w:jc w:val="center"/>
    </w:pPr>
    <w:rPr>
      <w:rFonts w:ascii="Arial" w:eastAsia="Times New Roman" w:hAnsi="Arial"/>
      <w:b/>
      <w:bCs/>
      <w:sz w:val="22"/>
      <w:szCs w:val="20"/>
    </w:rPr>
  </w:style>
  <w:style w:type="character" w:customStyle="1" w:styleId="SubtitleChar">
    <w:name w:val="Subtitle Char"/>
    <w:basedOn w:val="DefaultParagraphFont"/>
    <w:link w:val="Subtitle"/>
    <w:rsid w:val="00D142C3"/>
    <w:rPr>
      <w:rFonts w:ascii="Arial" w:eastAsia="Times New Roman" w:hAnsi="Arial"/>
      <w:b/>
      <w:bCs/>
      <w:sz w:val="22"/>
      <w:lang w:eastAsia="en-US"/>
    </w:rPr>
  </w:style>
  <w:style w:type="paragraph" w:styleId="PlainText">
    <w:name w:val="Plain Text"/>
    <w:basedOn w:val="Normal"/>
    <w:link w:val="PlainTextChar"/>
    <w:uiPriority w:val="99"/>
    <w:unhideWhenUsed/>
    <w:rsid w:val="00B87C87"/>
    <w:pPr>
      <w:spacing w:before="0" w:after="0" w:line="240" w:lineRule="auto"/>
    </w:pPr>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B87C87"/>
    <w:rPr>
      <w:rFonts w:ascii="Calibri" w:eastAsiaTheme="minorHAnsi" w:hAnsi="Calibri" w:cs="Consolas"/>
      <w:sz w:val="22"/>
      <w:szCs w:val="21"/>
      <w:lang w:eastAsia="en-US"/>
    </w:rPr>
  </w:style>
  <w:style w:type="character" w:styleId="Strong">
    <w:name w:val="Strong"/>
    <w:basedOn w:val="DefaultParagraphFont"/>
    <w:uiPriority w:val="22"/>
    <w:qFormat/>
    <w:rsid w:val="00296961"/>
    <w:rPr>
      <w:b/>
      <w:bCs/>
    </w:rPr>
  </w:style>
  <w:style w:type="character" w:styleId="Emphasis">
    <w:name w:val="Emphasis"/>
    <w:basedOn w:val="DefaultParagraphFont"/>
    <w:uiPriority w:val="20"/>
    <w:qFormat/>
    <w:rsid w:val="002B3F5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120549">
      <w:bodyDiv w:val="1"/>
      <w:marLeft w:val="0"/>
      <w:marRight w:val="0"/>
      <w:marTop w:val="0"/>
      <w:marBottom w:val="0"/>
      <w:divBdr>
        <w:top w:val="none" w:sz="0" w:space="0" w:color="auto"/>
        <w:left w:val="none" w:sz="0" w:space="0" w:color="auto"/>
        <w:bottom w:val="none" w:sz="0" w:space="0" w:color="auto"/>
        <w:right w:val="none" w:sz="0" w:space="0" w:color="auto"/>
      </w:divBdr>
    </w:div>
    <w:div w:id="526674244">
      <w:bodyDiv w:val="1"/>
      <w:marLeft w:val="0"/>
      <w:marRight w:val="0"/>
      <w:marTop w:val="0"/>
      <w:marBottom w:val="0"/>
      <w:divBdr>
        <w:top w:val="none" w:sz="0" w:space="0" w:color="auto"/>
        <w:left w:val="none" w:sz="0" w:space="0" w:color="auto"/>
        <w:bottom w:val="none" w:sz="0" w:space="0" w:color="auto"/>
        <w:right w:val="none" w:sz="0" w:space="0" w:color="auto"/>
      </w:divBdr>
    </w:div>
    <w:div w:id="699284305">
      <w:bodyDiv w:val="1"/>
      <w:marLeft w:val="0"/>
      <w:marRight w:val="0"/>
      <w:marTop w:val="0"/>
      <w:marBottom w:val="0"/>
      <w:divBdr>
        <w:top w:val="none" w:sz="0" w:space="0" w:color="auto"/>
        <w:left w:val="none" w:sz="0" w:space="0" w:color="auto"/>
        <w:bottom w:val="none" w:sz="0" w:space="0" w:color="auto"/>
        <w:right w:val="none" w:sz="0" w:space="0" w:color="auto"/>
      </w:divBdr>
    </w:div>
    <w:div w:id="870268778">
      <w:bodyDiv w:val="1"/>
      <w:marLeft w:val="0"/>
      <w:marRight w:val="0"/>
      <w:marTop w:val="0"/>
      <w:marBottom w:val="0"/>
      <w:divBdr>
        <w:top w:val="none" w:sz="0" w:space="0" w:color="auto"/>
        <w:left w:val="none" w:sz="0" w:space="0" w:color="auto"/>
        <w:bottom w:val="none" w:sz="0" w:space="0" w:color="auto"/>
        <w:right w:val="none" w:sz="0" w:space="0" w:color="auto"/>
      </w:divBdr>
    </w:div>
    <w:div w:id="885607446">
      <w:bodyDiv w:val="1"/>
      <w:marLeft w:val="0"/>
      <w:marRight w:val="0"/>
      <w:marTop w:val="0"/>
      <w:marBottom w:val="0"/>
      <w:divBdr>
        <w:top w:val="none" w:sz="0" w:space="0" w:color="auto"/>
        <w:left w:val="none" w:sz="0" w:space="0" w:color="auto"/>
        <w:bottom w:val="none" w:sz="0" w:space="0" w:color="auto"/>
        <w:right w:val="none" w:sz="0" w:space="0" w:color="auto"/>
      </w:divBdr>
    </w:div>
    <w:div w:id="1007637809">
      <w:bodyDiv w:val="1"/>
      <w:marLeft w:val="0"/>
      <w:marRight w:val="0"/>
      <w:marTop w:val="0"/>
      <w:marBottom w:val="0"/>
      <w:divBdr>
        <w:top w:val="none" w:sz="0" w:space="0" w:color="auto"/>
        <w:left w:val="none" w:sz="0" w:space="0" w:color="auto"/>
        <w:bottom w:val="none" w:sz="0" w:space="0" w:color="auto"/>
        <w:right w:val="none" w:sz="0" w:space="0" w:color="auto"/>
      </w:divBdr>
    </w:div>
    <w:div w:id="1066340236">
      <w:bodyDiv w:val="1"/>
      <w:marLeft w:val="0"/>
      <w:marRight w:val="0"/>
      <w:marTop w:val="0"/>
      <w:marBottom w:val="0"/>
      <w:divBdr>
        <w:top w:val="none" w:sz="0" w:space="0" w:color="auto"/>
        <w:left w:val="none" w:sz="0" w:space="0" w:color="auto"/>
        <w:bottom w:val="none" w:sz="0" w:space="0" w:color="auto"/>
        <w:right w:val="none" w:sz="0" w:space="0" w:color="auto"/>
      </w:divBdr>
    </w:div>
    <w:div w:id="1218786490">
      <w:bodyDiv w:val="1"/>
      <w:marLeft w:val="0"/>
      <w:marRight w:val="0"/>
      <w:marTop w:val="0"/>
      <w:marBottom w:val="0"/>
      <w:divBdr>
        <w:top w:val="none" w:sz="0" w:space="0" w:color="auto"/>
        <w:left w:val="none" w:sz="0" w:space="0" w:color="auto"/>
        <w:bottom w:val="none" w:sz="0" w:space="0" w:color="auto"/>
        <w:right w:val="none" w:sz="0" w:space="0" w:color="auto"/>
      </w:divBdr>
    </w:div>
    <w:div w:id="1219324720">
      <w:bodyDiv w:val="1"/>
      <w:marLeft w:val="0"/>
      <w:marRight w:val="0"/>
      <w:marTop w:val="0"/>
      <w:marBottom w:val="0"/>
      <w:divBdr>
        <w:top w:val="none" w:sz="0" w:space="0" w:color="auto"/>
        <w:left w:val="none" w:sz="0" w:space="0" w:color="auto"/>
        <w:bottom w:val="none" w:sz="0" w:space="0" w:color="auto"/>
        <w:right w:val="none" w:sz="0" w:space="0" w:color="auto"/>
      </w:divBdr>
    </w:div>
    <w:div w:id="1259827645">
      <w:bodyDiv w:val="1"/>
      <w:marLeft w:val="0"/>
      <w:marRight w:val="0"/>
      <w:marTop w:val="0"/>
      <w:marBottom w:val="0"/>
      <w:divBdr>
        <w:top w:val="none" w:sz="0" w:space="0" w:color="auto"/>
        <w:left w:val="none" w:sz="0" w:space="0" w:color="auto"/>
        <w:bottom w:val="none" w:sz="0" w:space="0" w:color="auto"/>
        <w:right w:val="none" w:sz="0" w:space="0" w:color="auto"/>
      </w:divBdr>
      <w:divsChild>
        <w:div w:id="506095804">
          <w:marLeft w:val="547"/>
          <w:marRight w:val="0"/>
          <w:marTop w:val="200"/>
          <w:marBottom w:val="0"/>
          <w:divBdr>
            <w:top w:val="none" w:sz="0" w:space="0" w:color="auto"/>
            <w:left w:val="none" w:sz="0" w:space="0" w:color="auto"/>
            <w:bottom w:val="none" w:sz="0" w:space="0" w:color="auto"/>
            <w:right w:val="none" w:sz="0" w:space="0" w:color="auto"/>
          </w:divBdr>
        </w:div>
        <w:div w:id="191846125">
          <w:marLeft w:val="547"/>
          <w:marRight w:val="0"/>
          <w:marTop w:val="200"/>
          <w:marBottom w:val="0"/>
          <w:divBdr>
            <w:top w:val="none" w:sz="0" w:space="0" w:color="auto"/>
            <w:left w:val="none" w:sz="0" w:space="0" w:color="auto"/>
            <w:bottom w:val="none" w:sz="0" w:space="0" w:color="auto"/>
            <w:right w:val="none" w:sz="0" w:space="0" w:color="auto"/>
          </w:divBdr>
        </w:div>
        <w:div w:id="299651677">
          <w:marLeft w:val="547"/>
          <w:marRight w:val="0"/>
          <w:marTop w:val="200"/>
          <w:marBottom w:val="0"/>
          <w:divBdr>
            <w:top w:val="none" w:sz="0" w:space="0" w:color="auto"/>
            <w:left w:val="none" w:sz="0" w:space="0" w:color="auto"/>
            <w:bottom w:val="none" w:sz="0" w:space="0" w:color="auto"/>
            <w:right w:val="none" w:sz="0" w:space="0" w:color="auto"/>
          </w:divBdr>
        </w:div>
        <w:div w:id="524682703">
          <w:marLeft w:val="547"/>
          <w:marRight w:val="0"/>
          <w:marTop w:val="200"/>
          <w:marBottom w:val="0"/>
          <w:divBdr>
            <w:top w:val="none" w:sz="0" w:space="0" w:color="auto"/>
            <w:left w:val="none" w:sz="0" w:space="0" w:color="auto"/>
            <w:bottom w:val="none" w:sz="0" w:space="0" w:color="auto"/>
            <w:right w:val="none" w:sz="0" w:space="0" w:color="auto"/>
          </w:divBdr>
        </w:div>
        <w:div w:id="1405255350">
          <w:marLeft w:val="547"/>
          <w:marRight w:val="0"/>
          <w:marTop w:val="200"/>
          <w:marBottom w:val="0"/>
          <w:divBdr>
            <w:top w:val="none" w:sz="0" w:space="0" w:color="auto"/>
            <w:left w:val="none" w:sz="0" w:space="0" w:color="auto"/>
            <w:bottom w:val="none" w:sz="0" w:space="0" w:color="auto"/>
            <w:right w:val="none" w:sz="0" w:space="0" w:color="auto"/>
          </w:divBdr>
        </w:div>
      </w:divsChild>
    </w:div>
    <w:div w:id="1363821729">
      <w:bodyDiv w:val="1"/>
      <w:marLeft w:val="0"/>
      <w:marRight w:val="0"/>
      <w:marTop w:val="0"/>
      <w:marBottom w:val="0"/>
      <w:divBdr>
        <w:top w:val="none" w:sz="0" w:space="0" w:color="auto"/>
        <w:left w:val="none" w:sz="0" w:space="0" w:color="auto"/>
        <w:bottom w:val="none" w:sz="0" w:space="0" w:color="auto"/>
        <w:right w:val="none" w:sz="0" w:space="0" w:color="auto"/>
      </w:divBdr>
    </w:div>
    <w:div w:id="1419138046">
      <w:bodyDiv w:val="1"/>
      <w:marLeft w:val="0"/>
      <w:marRight w:val="0"/>
      <w:marTop w:val="0"/>
      <w:marBottom w:val="0"/>
      <w:divBdr>
        <w:top w:val="none" w:sz="0" w:space="0" w:color="auto"/>
        <w:left w:val="none" w:sz="0" w:space="0" w:color="auto"/>
        <w:bottom w:val="none" w:sz="0" w:space="0" w:color="auto"/>
        <w:right w:val="none" w:sz="0" w:space="0" w:color="auto"/>
      </w:divBdr>
    </w:div>
    <w:div w:id="1457870852">
      <w:bodyDiv w:val="1"/>
      <w:marLeft w:val="0"/>
      <w:marRight w:val="0"/>
      <w:marTop w:val="0"/>
      <w:marBottom w:val="0"/>
      <w:divBdr>
        <w:top w:val="none" w:sz="0" w:space="0" w:color="auto"/>
        <w:left w:val="none" w:sz="0" w:space="0" w:color="auto"/>
        <w:bottom w:val="none" w:sz="0" w:space="0" w:color="auto"/>
        <w:right w:val="none" w:sz="0" w:space="0" w:color="auto"/>
      </w:divBdr>
    </w:div>
    <w:div w:id="1543058300">
      <w:bodyDiv w:val="1"/>
      <w:marLeft w:val="0"/>
      <w:marRight w:val="0"/>
      <w:marTop w:val="0"/>
      <w:marBottom w:val="0"/>
      <w:divBdr>
        <w:top w:val="none" w:sz="0" w:space="0" w:color="auto"/>
        <w:left w:val="none" w:sz="0" w:space="0" w:color="auto"/>
        <w:bottom w:val="none" w:sz="0" w:space="0" w:color="auto"/>
        <w:right w:val="none" w:sz="0" w:space="0" w:color="auto"/>
      </w:divBdr>
    </w:div>
    <w:div w:id="1569220262">
      <w:bodyDiv w:val="1"/>
      <w:marLeft w:val="0"/>
      <w:marRight w:val="0"/>
      <w:marTop w:val="0"/>
      <w:marBottom w:val="0"/>
      <w:divBdr>
        <w:top w:val="none" w:sz="0" w:space="0" w:color="auto"/>
        <w:left w:val="none" w:sz="0" w:space="0" w:color="auto"/>
        <w:bottom w:val="none" w:sz="0" w:space="0" w:color="auto"/>
        <w:right w:val="none" w:sz="0" w:space="0" w:color="auto"/>
      </w:divBdr>
    </w:div>
    <w:div w:id="1624074991">
      <w:bodyDiv w:val="1"/>
      <w:marLeft w:val="0"/>
      <w:marRight w:val="0"/>
      <w:marTop w:val="0"/>
      <w:marBottom w:val="0"/>
      <w:divBdr>
        <w:top w:val="none" w:sz="0" w:space="0" w:color="auto"/>
        <w:left w:val="none" w:sz="0" w:space="0" w:color="auto"/>
        <w:bottom w:val="none" w:sz="0" w:space="0" w:color="auto"/>
        <w:right w:val="none" w:sz="0" w:space="0" w:color="auto"/>
      </w:divBdr>
    </w:div>
    <w:div w:id="1829596387">
      <w:bodyDiv w:val="1"/>
      <w:marLeft w:val="0"/>
      <w:marRight w:val="0"/>
      <w:marTop w:val="0"/>
      <w:marBottom w:val="0"/>
      <w:divBdr>
        <w:top w:val="none" w:sz="0" w:space="0" w:color="auto"/>
        <w:left w:val="none" w:sz="0" w:space="0" w:color="auto"/>
        <w:bottom w:val="none" w:sz="0" w:space="0" w:color="auto"/>
        <w:right w:val="none" w:sz="0" w:space="0" w:color="auto"/>
      </w:divBdr>
    </w:div>
    <w:div w:id="206250881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lanning.Unit@justice.tas.gov.a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justice.tas.gov.a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anningreform.tas.gov.a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D7190-9527-418B-BAD0-FE8591E99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1CE517BB.dotm</Template>
  <TotalTime>0</TotalTime>
  <Pages>7</Pages>
  <Words>2103</Words>
  <Characters>11988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Helen Bryen : Designer</Company>
  <LinksUpToDate>false</LinksUpToDate>
  <CharactersWithSpaces>14063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mandy.denby</dc:creator>
  <cp:lastModifiedBy>Evans, Susan</cp:lastModifiedBy>
  <cp:revision>2</cp:revision>
  <cp:lastPrinted>2017-11-22T23:07:00Z</cp:lastPrinted>
  <dcterms:created xsi:type="dcterms:W3CDTF">2017-11-30T22:14:00Z</dcterms:created>
  <dcterms:modified xsi:type="dcterms:W3CDTF">2017-11-30T22:14:00Z</dcterms:modified>
</cp:coreProperties>
</file>