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500AF" w14:textId="77777777" w:rsidR="001004A9" w:rsidRPr="008552B8" w:rsidRDefault="00E768FB" w:rsidP="008552B8">
      <w:pPr>
        <w:pStyle w:val="Heading1"/>
        <w:spacing w:after="240"/>
        <w:rPr>
          <w:sz w:val="43"/>
          <w:szCs w:val="43"/>
        </w:rPr>
      </w:pPr>
      <w:bookmarkStart w:id="0" w:name="_GoBack"/>
      <w:bookmarkEnd w:id="0"/>
      <w:r>
        <w:rPr>
          <w:sz w:val="43"/>
          <w:szCs w:val="43"/>
        </w:rPr>
        <w:t>Major projects assessment</w:t>
      </w:r>
      <w:r w:rsidR="00DB298F" w:rsidRPr="008552B8">
        <w:rPr>
          <w:sz w:val="43"/>
          <w:szCs w:val="43"/>
        </w:rPr>
        <w:t xml:space="preserve"> Reform</w:t>
      </w:r>
      <w:r w:rsidR="00BF18E6">
        <w:rPr>
          <w:sz w:val="43"/>
          <w:szCs w:val="43"/>
        </w:rPr>
        <w:t>:</w:t>
      </w:r>
      <w:r w:rsidR="003979E4" w:rsidRPr="008552B8">
        <w:rPr>
          <w:sz w:val="43"/>
          <w:szCs w:val="43"/>
        </w:rPr>
        <w:t xml:space="preserve"> </w:t>
      </w:r>
      <w:r w:rsidR="00BF18E6">
        <w:rPr>
          <w:sz w:val="43"/>
          <w:szCs w:val="43"/>
        </w:rPr>
        <w:br/>
      </w:r>
      <w:r w:rsidR="00E06800">
        <w:rPr>
          <w:sz w:val="43"/>
          <w:szCs w:val="43"/>
        </w:rPr>
        <w:t>An Overview</w:t>
      </w:r>
    </w:p>
    <w:p w14:paraId="26C7EC3A" w14:textId="77777777" w:rsidR="00FC3197" w:rsidRDefault="00FC3197" w:rsidP="008552B8">
      <w:pPr>
        <w:spacing w:before="120" w:after="180"/>
        <w:rPr>
          <w:rFonts w:ascii="Gill Sans MT" w:hAnsi="Gill Sans MT"/>
          <w:bCs/>
          <w:i/>
        </w:rPr>
        <w:sectPr w:rsidR="00FC3197" w:rsidSect="00A5389A">
          <w:headerReference w:type="even" r:id="rId8"/>
          <w:headerReference w:type="default" r:id="rId9"/>
          <w:footerReference w:type="even" r:id="rId10"/>
          <w:footerReference w:type="default" r:id="rId11"/>
          <w:headerReference w:type="first" r:id="rId12"/>
          <w:footerReference w:type="first" r:id="rId13"/>
          <w:pgSz w:w="11900" w:h="16840"/>
          <w:pgMar w:top="2552" w:right="1797" w:bottom="1440" w:left="1418" w:header="709" w:footer="484" w:gutter="0"/>
          <w:cols w:space="708"/>
        </w:sectPr>
      </w:pPr>
    </w:p>
    <w:p w14:paraId="5EBE3ED1" w14:textId="77777777" w:rsidR="00E47115" w:rsidRPr="00DB298F" w:rsidRDefault="00E47115" w:rsidP="008552B8">
      <w:pPr>
        <w:pStyle w:val="Heading2"/>
        <w:spacing w:before="120"/>
      </w:pPr>
      <w:r>
        <w:t xml:space="preserve">What </w:t>
      </w:r>
      <w:r w:rsidR="00BC1939">
        <w:t>changes is the Government proposing?</w:t>
      </w:r>
    </w:p>
    <w:p w14:paraId="437CB849" w14:textId="57C375D9" w:rsidR="004403A7" w:rsidRPr="00E25D6A" w:rsidRDefault="00DB298F" w:rsidP="00836009">
      <w:pPr>
        <w:spacing w:after="120"/>
        <w:rPr>
          <w:rFonts w:ascii="Gill Sans MT" w:hAnsi="Gill Sans MT"/>
          <w:bCs/>
          <w:szCs w:val="24"/>
        </w:rPr>
      </w:pPr>
      <w:r w:rsidRPr="00296961">
        <w:rPr>
          <w:rFonts w:ascii="Gill Sans MT" w:hAnsi="Gill Sans MT"/>
          <w:bCs/>
          <w:szCs w:val="24"/>
        </w:rPr>
        <w:t xml:space="preserve">The Government </w:t>
      </w:r>
      <w:r w:rsidR="00AF42FE">
        <w:rPr>
          <w:rFonts w:ascii="Gill Sans MT" w:hAnsi="Gill Sans MT"/>
          <w:bCs/>
          <w:szCs w:val="24"/>
        </w:rPr>
        <w:t xml:space="preserve">is proposing to reform the process for assessing major projects in Tasmania </w:t>
      </w:r>
      <w:r w:rsidR="004403A7">
        <w:rPr>
          <w:rFonts w:ascii="Gill Sans MT" w:hAnsi="Gill Sans MT"/>
          <w:bCs/>
          <w:szCs w:val="24"/>
        </w:rPr>
        <w:t xml:space="preserve">to make it more efficient, provide greater certainty </w:t>
      </w:r>
      <w:r w:rsidR="00F60BF5">
        <w:rPr>
          <w:rFonts w:ascii="Gill Sans MT" w:hAnsi="Gill Sans MT"/>
          <w:bCs/>
          <w:szCs w:val="24"/>
        </w:rPr>
        <w:t>to proponent</w:t>
      </w:r>
      <w:r w:rsidR="003E3747">
        <w:rPr>
          <w:rFonts w:ascii="Gill Sans MT" w:hAnsi="Gill Sans MT"/>
          <w:bCs/>
          <w:szCs w:val="24"/>
        </w:rPr>
        <w:t>s</w:t>
      </w:r>
      <w:r w:rsidR="00F60BF5">
        <w:rPr>
          <w:rFonts w:ascii="Gill Sans MT" w:hAnsi="Gill Sans MT"/>
          <w:bCs/>
          <w:szCs w:val="24"/>
        </w:rPr>
        <w:t xml:space="preserve"> </w:t>
      </w:r>
      <w:r w:rsidR="004403A7">
        <w:rPr>
          <w:rFonts w:ascii="Gill Sans MT" w:hAnsi="Gill Sans MT"/>
          <w:bCs/>
          <w:szCs w:val="24"/>
        </w:rPr>
        <w:t xml:space="preserve">earlier in the process and improve transparency and </w:t>
      </w:r>
      <w:r w:rsidR="004403A7" w:rsidRPr="00E25D6A">
        <w:rPr>
          <w:rFonts w:ascii="Gill Sans MT" w:hAnsi="Gill Sans MT"/>
          <w:bCs/>
          <w:szCs w:val="24"/>
        </w:rPr>
        <w:t>public involvement.</w:t>
      </w:r>
    </w:p>
    <w:p w14:paraId="008CD783" w14:textId="02F1C040" w:rsidR="00FD700B" w:rsidRPr="00E25D6A" w:rsidRDefault="00FD700B" w:rsidP="00836009">
      <w:pPr>
        <w:spacing w:after="120"/>
        <w:rPr>
          <w:rFonts w:ascii="Gill Sans MT" w:hAnsi="Gill Sans MT"/>
          <w:bCs/>
          <w:szCs w:val="24"/>
        </w:rPr>
      </w:pPr>
      <w:r w:rsidRPr="00E25D6A">
        <w:rPr>
          <w:rFonts w:ascii="Gill Sans MT" w:hAnsi="Gill Sans MT"/>
          <w:bCs/>
          <w:szCs w:val="24"/>
        </w:rPr>
        <w:t>This process is different to the current process for assessing Projects of Regional Significance (PORS) under the</w:t>
      </w:r>
      <w:r w:rsidRPr="00E25D6A">
        <w:rPr>
          <w:rFonts w:ascii="Gill Sans MT" w:hAnsi="Gill Sans MT"/>
          <w:bCs/>
          <w:i/>
          <w:szCs w:val="24"/>
        </w:rPr>
        <w:t xml:space="preserve"> Land Use Planning and Approvals Act 1993</w:t>
      </w:r>
      <w:r w:rsidRPr="00E25D6A">
        <w:rPr>
          <w:rFonts w:ascii="Gill Sans MT" w:hAnsi="Gill Sans MT"/>
          <w:bCs/>
          <w:szCs w:val="24"/>
        </w:rPr>
        <w:t xml:space="preserve">. </w:t>
      </w:r>
    </w:p>
    <w:p w14:paraId="22B692A0" w14:textId="77777777" w:rsidR="00F60BF5" w:rsidRPr="00E25D6A" w:rsidRDefault="00F60BF5" w:rsidP="00836009">
      <w:pPr>
        <w:spacing w:after="120"/>
        <w:rPr>
          <w:rFonts w:ascii="Gill Sans MT" w:hAnsi="Gill Sans MT"/>
          <w:bCs/>
          <w:szCs w:val="24"/>
        </w:rPr>
      </w:pPr>
      <w:r w:rsidRPr="00E25D6A">
        <w:rPr>
          <w:rFonts w:ascii="Gill Sans MT" w:hAnsi="Gill Sans MT"/>
          <w:bCs/>
          <w:szCs w:val="24"/>
        </w:rPr>
        <w:t xml:space="preserve">The </w:t>
      </w:r>
      <w:r w:rsidR="003E3747" w:rsidRPr="00E25D6A">
        <w:rPr>
          <w:rFonts w:ascii="Gill Sans MT" w:hAnsi="Gill Sans MT"/>
          <w:bCs/>
          <w:szCs w:val="24"/>
        </w:rPr>
        <w:t xml:space="preserve">main changes proposed by the </w:t>
      </w:r>
      <w:r w:rsidRPr="00E25D6A">
        <w:rPr>
          <w:rFonts w:ascii="Gill Sans MT" w:hAnsi="Gill Sans MT"/>
          <w:bCs/>
          <w:szCs w:val="24"/>
        </w:rPr>
        <w:t xml:space="preserve">Government </w:t>
      </w:r>
      <w:r w:rsidR="003E3747" w:rsidRPr="00E25D6A">
        <w:rPr>
          <w:rFonts w:ascii="Gill Sans MT" w:hAnsi="Gill Sans MT"/>
          <w:bCs/>
          <w:szCs w:val="24"/>
        </w:rPr>
        <w:t>are</w:t>
      </w:r>
      <w:r w:rsidRPr="00E25D6A">
        <w:rPr>
          <w:rFonts w:ascii="Gill Sans MT" w:hAnsi="Gill Sans MT"/>
          <w:bCs/>
          <w:szCs w:val="24"/>
        </w:rPr>
        <w:t>:</w:t>
      </w:r>
    </w:p>
    <w:p w14:paraId="5123D040" w14:textId="35B52D2B" w:rsidR="00F60BF5" w:rsidRDefault="00EF27CF" w:rsidP="00977E60">
      <w:pPr>
        <w:pStyle w:val="ListParagraph"/>
        <w:numPr>
          <w:ilvl w:val="0"/>
          <w:numId w:val="38"/>
        </w:numPr>
        <w:spacing w:after="0"/>
        <w:ind w:left="714" w:hanging="357"/>
        <w:contextualSpacing w:val="0"/>
        <w:rPr>
          <w:rFonts w:ascii="Gill Sans MT" w:hAnsi="Gill Sans MT"/>
          <w:bCs/>
          <w:szCs w:val="24"/>
        </w:rPr>
      </w:pPr>
      <w:r w:rsidRPr="00E25D6A">
        <w:rPr>
          <w:rFonts w:ascii="Gill Sans MT" w:hAnsi="Gill Sans MT"/>
          <w:bCs/>
          <w:szCs w:val="24"/>
        </w:rPr>
        <w:t xml:space="preserve">Expanding the suite of approvals to include approvals under land use planning, </w:t>
      </w:r>
      <w:r w:rsidR="002325F1" w:rsidRPr="00E25D6A">
        <w:rPr>
          <w:rFonts w:ascii="Gill Sans MT" w:hAnsi="Gill Sans MT"/>
          <w:bCs/>
          <w:szCs w:val="24"/>
        </w:rPr>
        <w:t xml:space="preserve">water and gas, </w:t>
      </w:r>
      <w:r w:rsidRPr="00E25D6A">
        <w:rPr>
          <w:rFonts w:ascii="Gill Sans MT" w:hAnsi="Gill Sans MT"/>
          <w:bCs/>
          <w:szCs w:val="24"/>
        </w:rPr>
        <w:t>environmental, Aboriginal cultural heritage, historic cultural heritage, threatened species and nature conservation legislation.</w:t>
      </w:r>
    </w:p>
    <w:p w14:paraId="029293E8" w14:textId="2EE431A3" w:rsidR="00176076" w:rsidRPr="00176076" w:rsidRDefault="00176076" w:rsidP="00176076">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Clarifying when a project is eligible to be declared to be a major project;</w:t>
      </w:r>
    </w:p>
    <w:p w14:paraId="65F91611" w14:textId="2AC7D4DB" w:rsidR="00977E60" w:rsidRDefault="00E25D6A" w:rsidP="00977E60">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 xml:space="preserve">Introducing </w:t>
      </w:r>
      <w:r w:rsidR="001D3B13">
        <w:rPr>
          <w:rFonts w:ascii="Gill Sans MT" w:hAnsi="Gill Sans MT"/>
          <w:bCs/>
          <w:szCs w:val="24"/>
        </w:rPr>
        <w:t>a ‘no reasonable prospect’ test early in the process</w:t>
      </w:r>
      <w:r w:rsidR="001D3B13">
        <w:rPr>
          <w:rFonts w:ascii="Gill Sans MT" w:hAnsi="Gill Sans MT"/>
        </w:rPr>
        <w:t xml:space="preserve"> and in-principle </w:t>
      </w:r>
      <w:r w:rsidR="001D3B13" w:rsidRPr="00B54BE8">
        <w:rPr>
          <w:rFonts w:ascii="Gill Sans MT" w:hAnsi="Gill Sans MT"/>
        </w:rPr>
        <w:t>permit commencement conditions</w:t>
      </w:r>
      <w:r w:rsidR="00864548">
        <w:rPr>
          <w:rFonts w:ascii="Gill Sans MT" w:hAnsi="Gill Sans MT"/>
          <w:bCs/>
          <w:szCs w:val="24"/>
        </w:rPr>
        <w:t>;</w:t>
      </w:r>
    </w:p>
    <w:p w14:paraId="1C513452" w14:textId="77777777" w:rsidR="00977E60" w:rsidRDefault="00977E60" w:rsidP="00977E60">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 xml:space="preserve">Enhancing </w:t>
      </w:r>
      <w:r w:rsidR="007B7146">
        <w:rPr>
          <w:rFonts w:ascii="Gill Sans MT" w:hAnsi="Gill Sans MT"/>
          <w:bCs/>
          <w:szCs w:val="24"/>
        </w:rPr>
        <w:t xml:space="preserve">transparency, </w:t>
      </w:r>
      <w:r>
        <w:rPr>
          <w:rFonts w:ascii="Gill Sans MT" w:hAnsi="Gill Sans MT"/>
          <w:bCs/>
          <w:szCs w:val="24"/>
        </w:rPr>
        <w:t xml:space="preserve">public consultation and </w:t>
      </w:r>
      <w:r w:rsidR="007B7146">
        <w:rPr>
          <w:rFonts w:ascii="Gill Sans MT" w:hAnsi="Gill Sans MT"/>
          <w:bCs/>
          <w:szCs w:val="24"/>
        </w:rPr>
        <w:t>engagement</w:t>
      </w:r>
      <w:r>
        <w:rPr>
          <w:rFonts w:ascii="Gill Sans MT" w:hAnsi="Gill Sans MT"/>
          <w:bCs/>
          <w:szCs w:val="24"/>
        </w:rPr>
        <w:t>; and</w:t>
      </w:r>
    </w:p>
    <w:p w14:paraId="7250F1D2" w14:textId="77777777" w:rsidR="00977E60" w:rsidRPr="00EF27CF" w:rsidRDefault="00977E60" w:rsidP="00977E60">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Clarifying timeframes and staging the recovery of assessment fees</w:t>
      </w:r>
      <w:r w:rsidR="00262701">
        <w:rPr>
          <w:rFonts w:ascii="Gill Sans MT" w:hAnsi="Gill Sans MT"/>
          <w:bCs/>
          <w:szCs w:val="24"/>
        </w:rPr>
        <w:t xml:space="preserve"> on a cost recovery basis</w:t>
      </w:r>
      <w:r>
        <w:rPr>
          <w:rFonts w:ascii="Gill Sans MT" w:hAnsi="Gill Sans MT"/>
          <w:bCs/>
          <w:szCs w:val="24"/>
        </w:rPr>
        <w:t>.</w:t>
      </w:r>
    </w:p>
    <w:p w14:paraId="265A02CC" w14:textId="2F5347EF" w:rsidR="00F60BF5" w:rsidRDefault="006C1C5F" w:rsidP="00836009">
      <w:pPr>
        <w:spacing w:after="120"/>
        <w:rPr>
          <w:rFonts w:ascii="Gill Sans MT" w:hAnsi="Gill Sans MT"/>
          <w:bCs/>
          <w:szCs w:val="24"/>
        </w:rPr>
      </w:pPr>
      <w:r>
        <w:rPr>
          <w:rFonts w:ascii="Gill Sans MT" w:hAnsi="Gill Sans MT"/>
          <w:bCs/>
          <w:szCs w:val="24"/>
        </w:rPr>
        <w:t>The proposed changes are contained in the draft Land Use Planning and Approvals Amen</w:t>
      </w:r>
      <w:r w:rsidR="00E7528E">
        <w:rPr>
          <w:rFonts w:ascii="Gill Sans MT" w:hAnsi="Gill Sans MT"/>
          <w:bCs/>
          <w:szCs w:val="24"/>
        </w:rPr>
        <w:t>dment (Major Projects) Bill 2018</w:t>
      </w:r>
      <w:r w:rsidR="00C968BB">
        <w:rPr>
          <w:rFonts w:ascii="Gill Sans MT" w:hAnsi="Gill Sans MT"/>
          <w:bCs/>
          <w:szCs w:val="24"/>
        </w:rPr>
        <w:t>. The changes</w:t>
      </w:r>
      <w:r>
        <w:rPr>
          <w:rFonts w:ascii="Gill Sans MT" w:hAnsi="Gill Sans MT"/>
          <w:bCs/>
          <w:szCs w:val="24"/>
        </w:rPr>
        <w:t xml:space="preserve"> will be finalised following</w:t>
      </w:r>
      <w:r w:rsidR="00E25D6A">
        <w:rPr>
          <w:rFonts w:ascii="Gill Sans MT" w:hAnsi="Gill Sans MT"/>
          <w:bCs/>
          <w:szCs w:val="24"/>
        </w:rPr>
        <w:t xml:space="preserve"> this</w:t>
      </w:r>
      <w:r>
        <w:rPr>
          <w:rFonts w:ascii="Gill Sans MT" w:hAnsi="Gill Sans MT"/>
          <w:bCs/>
          <w:szCs w:val="24"/>
        </w:rPr>
        <w:t xml:space="preserve"> </w:t>
      </w:r>
      <w:r w:rsidR="00E25D6A">
        <w:rPr>
          <w:rFonts w:ascii="Gill Sans MT" w:hAnsi="Gill Sans MT"/>
          <w:bCs/>
          <w:szCs w:val="24"/>
        </w:rPr>
        <w:t xml:space="preserve">further </w:t>
      </w:r>
      <w:r>
        <w:rPr>
          <w:rFonts w:ascii="Gill Sans MT" w:hAnsi="Gill Sans MT"/>
          <w:bCs/>
          <w:szCs w:val="24"/>
        </w:rPr>
        <w:t xml:space="preserve">consultation </w:t>
      </w:r>
      <w:r w:rsidR="00E25D6A">
        <w:rPr>
          <w:rFonts w:ascii="Gill Sans MT" w:hAnsi="Gill Sans MT"/>
          <w:bCs/>
          <w:szCs w:val="24"/>
        </w:rPr>
        <w:t xml:space="preserve">period </w:t>
      </w:r>
      <w:r>
        <w:rPr>
          <w:rFonts w:ascii="Gill Sans MT" w:hAnsi="Gill Sans MT"/>
          <w:bCs/>
          <w:szCs w:val="24"/>
        </w:rPr>
        <w:t>on the draft Bill.</w:t>
      </w:r>
    </w:p>
    <w:p w14:paraId="662A092D" w14:textId="77777777" w:rsidR="003F26EB" w:rsidRPr="00DB298F" w:rsidRDefault="003F26EB" w:rsidP="00A2279B">
      <w:pPr>
        <w:pStyle w:val="Heading2"/>
      </w:pPr>
      <w:r>
        <w:t>Why is the Government proposing the changes?</w:t>
      </w:r>
    </w:p>
    <w:p w14:paraId="75AEDE9B" w14:textId="1A0AE6BE" w:rsidR="003F26EB" w:rsidRDefault="00640E26" w:rsidP="00836009">
      <w:pPr>
        <w:spacing w:after="120"/>
        <w:rPr>
          <w:rFonts w:ascii="Gill Sans MT" w:hAnsi="Gill Sans MT"/>
          <w:bCs/>
          <w:szCs w:val="24"/>
        </w:rPr>
      </w:pPr>
      <w:r>
        <w:rPr>
          <w:rFonts w:ascii="Gill Sans MT" w:hAnsi="Gill Sans MT"/>
          <w:bCs/>
          <w:szCs w:val="24"/>
        </w:rPr>
        <w:t xml:space="preserve">The changes are intended to address concerns with the current </w:t>
      </w:r>
      <w:r w:rsidR="009C46B1">
        <w:rPr>
          <w:rFonts w:ascii="Gill Sans MT" w:hAnsi="Gill Sans MT"/>
          <w:bCs/>
          <w:szCs w:val="24"/>
        </w:rPr>
        <w:t>PORS</w:t>
      </w:r>
      <w:r w:rsidR="00140D46">
        <w:rPr>
          <w:rFonts w:ascii="Gill Sans MT" w:hAnsi="Gill Sans MT"/>
          <w:bCs/>
          <w:szCs w:val="24"/>
        </w:rPr>
        <w:t xml:space="preserve"> process </w:t>
      </w:r>
      <w:r>
        <w:rPr>
          <w:rFonts w:ascii="Gill Sans MT" w:hAnsi="Gill Sans MT"/>
          <w:bCs/>
          <w:szCs w:val="24"/>
        </w:rPr>
        <w:t>for assessing major projects</w:t>
      </w:r>
      <w:r w:rsidR="00140D46">
        <w:rPr>
          <w:rFonts w:ascii="Gill Sans MT" w:hAnsi="Gill Sans MT"/>
          <w:bCs/>
          <w:szCs w:val="24"/>
        </w:rPr>
        <w:t>. These</w:t>
      </w:r>
      <w:r w:rsidR="00A2279B">
        <w:rPr>
          <w:rFonts w:ascii="Gill Sans MT" w:hAnsi="Gill Sans MT"/>
          <w:bCs/>
          <w:szCs w:val="24"/>
        </w:rPr>
        <w:t xml:space="preserve"> concerns</w:t>
      </w:r>
      <w:r w:rsidR="00140D46">
        <w:rPr>
          <w:rFonts w:ascii="Gill Sans MT" w:hAnsi="Gill Sans MT"/>
          <w:bCs/>
          <w:szCs w:val="24"/>
        </w:rPr>
        <w:t xml:space="preserve"> include</w:t>
      </w:r>
      <w:r>
        <w:rPr>
          <w:rFonts w:ascii="Gill Sans MT" w:hAnsi="Gill Sans MT"/>
          <w:bCs/>
          <w:szCs w:val="24"/>
        </w:rPr>
        <w:t>:</w:t>
      </w:r>
    </w:p>
    <w:p w14:paraId="509EE9A7" w14:textId="04B4F0BE" w:rsidR="00640E26" w:rsidRDefault="00640E26" w:rsidP="004D60A9">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t xml:space="preserve">The limited number of approvals </w:t>
      </w:r>
      <w:r w:rsidR="00140D46">
        <w:rPr>
          <w:rFonts w:ascii="Gill Sans MT" w:hAnsi="Gill Sans MT"/>
          <w:bCs/>
          <w:szCs w:val="24"/>
        </w:rPr>
        <w:t xml:space="preserve">provided </w:t>
      </w:r>
      <w:r w:rsidR="00A2279B">
        <w:rPr>
          <w:rFonts w:ascii="Gill Sans MT" w:hAnsi="Gill Sans MT"/>
          <w:bCs/>
          <w:szCs w:val="24"/>
        </w:rPr>
        <w:t xml:space="preserve">under the PORS process </w:t>
      </w:r>
      <w:r w:rsidR="00140D46">
        <w:rPr>
          <w:rFonts w:ascii="Gill Sans MT" w:hAnsi="Gill Sans MT"/>
          <w:bCs/>
          <w:szCs w:val="24"/>
        </w:rPr>
        <w:t>(land use planning and environmental</w:t>
      </w:r>
      <w:r w:rsidR="00090E83">
        <w:rPr>
          <w:rFonts w:ascii="Gill Sans MT" w:hAnsi="Gill Sans MT"/>
          <w:bCs/>
          <w:szCs w:val="24"/>
        </w:rPr>
        <w:t xml:space="preserve"> approvals</w:t>
      </w:r>
      <w:r w:rsidR="00140D46">
        <w:rPr>
          <w:rFonts w:ascii="Gill Sans MT" w:hAnsi="Gill Sans MT"/>
          <w:bCs/>
          <w:szCs w:val="24"/>
        </w:rPr>
        <w:t xml:space="preserve">). For many </w:t>
      </w:r>
      <w:r w:rsidR="00C52DFA">
        <w:rPr>
          <w:rFonts w:ascii="Gill Sans MT" w:hAnsi="Gill Sans MT"/>
          <w:bCs/>
          <w:szCs w:val="24"/>
        </w:rPr>
        <w:t xml:space="preserve">major </w:t>
      </w:r>
      <w:r w:rsidR="00140D46">
        <w:rPr>
          <w:rFonts w:ascii="Gill Sans MT" w:hAnsi="Gill Sans MT"/>
          <w:bCs/>
          <w:szCs w:val="24"/>
        </w:rPr>
        <w:t xml:space="preserve">projects, a broader range of approvals may be required to </w:t>
      </w:r>
      <w:r w:rsidR="0004148F">
        <w:rPr>
          <w:rFonts w:ascii="Gill Sans MT" w:hAnsi="Gill Sans MT"/>
          <w:bCs/>
          <w:szCs w:val="24"/>
        </w:rPr>
        <w:t xml:space="preserve">use and </w:t>
      </w:r>
      <w:r w:rsidR="00140D46">
        <w:rPr>
          <w:rFonts w:ascii="Gill Sans MT" w:hAnsi="Gill Sans MT"/>
          <w:bCs/>
          <w:szCs w:val="24"/>
        </w:rPr>
        <w:t>develop the relevant land, including Aboriginal and historic cultural heritage, threatened species and nature conservation approvals;</w:t>
      </w:r>
    </w:p>
    <w:p w14:paraId="7B76838E" w14:textId="219AC93C" w:rsidR="00140D46" w:rsidRDefault="00140D46" w:rsidP="004D60A9">
      <w:pPr>
        <w:pStyle w:val="ListParagraph"/>
        <w:numPr>
          <w:ilvl w:val="0"/>
          <w:numId w:val="38"/>
        </w:numPr>
        <w:spacing w:after="0"/>
        <w:ind w:left="714" w:hanging="357"/>
        <w:contextualSpacing w:val="0"/>
        <w:rPr>
          <w:rFonts w:ascii="Gill Sans MT" w:hAnsi="Gill Sans MT"/>
          <w:bCs/>
          <w:szCs w:val="24"/>
        </w:rPr>
      </w:pPr>
      <w:r>
        <w:rPr>
          <w:rFonts w:ascii="Gill Sans MT" w:hAnsi="Gill Sans MT"/>
          <w:bCs/>
          <w:szCs w:val="24"/>
        </w:rPr>
        <w:lastRenderedPageBreak/>
        <w:t>A lack of certainty for proponents as to whether their project is likely to be approved</w:t>
      </w:r>
      <w:r w:rsidR="00136234">
        <w:rPr>
          <w:rFonts w:ascii="Gill Sans MT" w:hAnsi="Gill Sans MT"/>
          <w:bCs/>
          <w:szCs w:val="24"/>
        </w:rPr>
        <w:t xml:space="preserve">. This can result in significant wasted time and </w:t>
      </w:r>
      <w:r w:rsidR="00FE024B">
        <w:rPr>
          <w:rFonts w:ascii="Gill Sans MT" w:hAnsi="Gill Sans MT"/>
          <w:bCs/>
          <w:szCs w:val="24"/>
        </w:rPr>
        <w:t>resources</w:t>
      </w:r>
      <w:r w:rsidR="00136234">
        <w:rPr>
          <w:rFonts w:ascii="Gill Sans MT" w:hAnsi="Gill Sans MT"/>
          <w:bCs/>
          <w:szCs w:val="24"/>
        </w:rPr>
        <w:t xml:space="preserve"> for both proponents and regulators </w:t>
      </w:r>
      <w:r w:rsidR="0004148F">
        <w:rPr>
          <w:rFonts w:ascii="Gill Sans MT" w:hAnsi="Gill Sans MT"/>
          <w:bCs/>
          <w:szCs w:val="24"/>
        </w:rPr>
        <w:t xml:space="preserve">in preparing reports and surveys and assessing </w:t>
      </w:r>
      <w:r w:rsidR="00136234">
        <w:rPr>
          <w:rFonts w:ascii="Gill Sans MT" w:hAnsi="Gill Sans MT"/>
          <w:bCs/>
          <w:szCs w:val="24"/>
        </w:rPr>
        <w:t>a project</w:t>
      </w:r>
      <w:r w:rsidR="00FE024B">
        <w:rPr>
          <w:rFonts w:ascii="Gill Sans MT" w:hAnsi="Gill Sans MT"/>
          <w:bCs/>
          <w:szCs w:val="24"/>
        </w:rPr>
        <w:t xml:space="preserve"> </w:t>
      </w:r>
      <w:r w:rsidR="0004148F">
        <w:rPr>
          <w:rFonts w:ascii="Gill Sans MT" w:hAnsi="Gill Sans MT"/>
          <w:bCs/>
          <w:szCs w:val="24"/>
        </w:rPr>
        <w:t xml:space="preserve">that </w:t>
      </w:r>
      <w:r w:rsidR="00FE024B">
        <w:rPr>
          <w:rFonts w:ascii="Gill Sans MT" w:hAnsi="Gill Sans MT"/>
          <w:bCs/>
          <w:szCs w:val="24"/>
        </w:rPr>
        <w:t>was never likely to be approved</w:t>
      </w:r>
      <w:r>
        <w:rPr>
          <w:rFonts w:ascii="Gill Sans MT" w:hAnsi="Gill Sans MT"/>
          <w:bCs/>
          <w:szCs w:val="24"/>
        </w:rPr>
        <w:t>;</w:t>
      </w:r>
      <w:r w:rsidR="001B0AA0">
        <w:rPr>
          <w:rFonts w:ascii="Gill Sans MT" w:hAnsi="Gill Sans MT"/>
          <w:bCs/>
          <w:szCs w:val="24"/>
        </w:rPr>
        <w:t xml:space="preserve"> and</w:t>
      </w:r>
    </w:p>
    <w:p w14:paraId="687C7C86" w14:textId="5AD89255" w:rsidR="00045D56" w:rsidRPr="00362A08" w:rsidRDefault="0004148F" w:rsidP="00362A08">
      <w:pPr>
        <w:pStyle w:val="ListParagraph"/>
        <w:numPr>
          <w:ilvl w:val="0"/>
          <w:numId w:val="38"/>
        </w:numPr>
        <w:spacing w:after="0"/>
        <w:ind w:left="714" w:hanging="357"/>
        <w:contextualSpacing w:val="0"/>
        <w:rPr>
          <w:rFonts w:ascii="Gill Sans MT" w:hAnsi="Gill Sans MT"/>
          <w:bCs/>
          <w:i/>
          <w:szCs w:val="24"/>
        </w:rPr>
      </w:pPr>
      <w:r w:rsidRPr="00262701">
        <w:rPr>
          <w:rFonts w:ascii="Gill Sans MT" w:hAnsi="Gill Sans MT"/>
          <w:bCs/>
          <w:szCs w:val="24"/>
        </w:rPr>
        <w:t xml:space="preserve">The timing and calculation of assessment fees. These are </w:t>
      </w:r>
      <w:r w:rsidR="004D60A9">
        <w:rPr>
          <w:rFonts w:ascii="Gill Sans MT" w:hAnsi="Gill Sans MT"/>
          <w:bCs/>
          <w:szCs w:val="24"/>
        </w:rPr>
        <w:t xml:space="preserve">currently </w:t>
      </w:r>
      <w:r w:rsidRPr="00262701">
        <w:rPr>
          <w:rFonts w:ascii="Gill Sans MT" w:hAnsi="Gill Sans MT"/>
          <w:bCs/>
          <w:szCs w:val="24"/>
        </w:rPr>
        <w:t xml:space="preserve">charged on declaration </w:t>
      </w:r>
      <w:r w:rsidR="004D60A9">
        <w:rPr>
          <w:rFonts w:ascii="Gill Sans MT" w:hAnsi="Gill Sans MT"/>
          <w:bCs/>
          <w:szCs w:val="24"/>
        </w:rPr>
        <w:t xml:space="preserve">of the project </w:t>
      </w:r>
      <w:r w:rsidR="00DB49BD" w:rsidRPr="00262701">
        <w:rPr>
          <w:rFonts w:ascii="Gill Sans MT" w:hAnsi="Gill Sans MT"/>
          <w:bCs/>
          <w:szCs w:val="24"/>
        </w:rPr>
        <w:t xml:space="preserve">and prior to </w:t>
      </w:r>
      <w:r w:rsidR="004D60A9">
        <w:rPr>
          <w:rFonts w:ascii="Gill Sans MT" w:hAnsi="Gill Sans MT"/>
          <w:bCs/>
          <w:szCs w:val="24"/>
        </w:rPr>
        <w:t xml:space="preserve">the </w:t>
      </w:r>
      <w:r w:rsidR="00DB49BD" w:rsidRPr="00262701">
        <w:rPr>
          <w:rFonts w:ascii="Gill Sans MT" w:hAnsi="Gill Sans MT"/>
          <w:bCs/>
          <w:szCs w:val="24"/>
        </w:rPr>
        <w:t xml:space="preserve">assessment </w:t>
      </w:r>
      <w:r w:rsidR="004D60A9">
        <w:rPr>
          <w:rFonts w:ascii="Gill Sans MT" w:hAnsi="Gill Sans MT"/>
          <w:bCs/>
          <w:szCs w:val="24"/>
        </w:rPr>
        <w:t>occurring</w:t>
      </w:r>
      <w:r w:rsidR="00DB49BD" w:rsidRPr="00262701">
        <w:rPr>
          <w:rFonts w:ascii="Gill Sans MT" w:hAnsi="Gill Sans MT"/>
          <w:bCs/>
          <w:szCs w:val="24"/>
        </w:rPr>
        <w:t xml:space="preserve">. </w:t>
      </w:r>
      <w:r w:rsidR="00D9363A">
        <w:rPr>
          <w:rFonts w:ascii="Gill Sans MT" w:hAnsi="Gill Sans MT"/>
          <w:bCs/>
          <w:szCs w:val="24"/>
        </w:rPr>
        <w:t xml:space="preserve">They are also based </w:t>
      </w:r>
      <w:r w:rsidRPr="00262701">
        <w:rPr>
          <w:rFonts w:ascii="Gill Sans MT" w:hAnsi="Gill Sans MT"/>
          <w:bCs/>
          <w:szCs w:val="24"/>
        </w:rPr>
        <w:t>on a percentage of the capital cost of the project</w:t>
      </w:r>
      <w:r w:rsidR="00D9363A">
        <w:rPr>
          <w:rFonts w:ascii="Gill Sans MT" w:hAnsi="Gill Sans MT"/>
          <w:bCs/>
          <w:szCs w:val="24"/>
        </w:rPr>
        <w:t xml:space="preserve"> rather than cost-recovery</w:t>
      </w:r>
      <w:r w:rsidRPr="00262701">
        <w:rPr>
          <w:rFonts w:ascii="Gill Sans MT" w:hAnsi="Gill Sans MT"/>
          <w:bCs/>
          <w:szCs w:val="24"/>
        </w:rPr>
        <w:t xml:space="preserve">. </w:t>
      </w:r>
      <w:r w:rsidR="00D9363A">
        <w:rPr>
          <w:rFonts w:ascii="Gill Sans MT" w:hAnsi="Gill Sans MT"/>
          <w:bCs/>
          <w:szCs w:val="24"/>
        </w:rPr>
        <w:t xml:space="preserve">This </w:t>
      </w:r>
      <w:r w:rsidR="00EA4FBF">
        <w:rPr>
          <w:rFonts w:ascii="Gill Sans MT" w:hAnsi="Gill Sans MT"/>
          <w:bCs/>
          <w:szCs w:val="24"/>
        </w:rPr>
        <w:t xml:space="preserve">potentially </w:t>
      </w:r>
      <w:r w:rsidR="00D9363A">
        <w:rPr>
          <w:rFonts w:ascii="Gill Sans MT" w:hAnsi="Gill Sans MT"/>
          <w:bCs/>
          <w:szCs w:val="24"/>
        </w:rPr>
        <w:t xml:space="preserve">discriminates against larger projects, which are not </w:t>
      </w:r>
      <w:r w:rsidR="00262701" w:rsidRPr="00262701">
        <w:rPr>
          <w:rFonts w:ascii="Gill Sans MT" w:hAnsi="Gill Sans MT"/>
          <w:bCs/>
          <w:szCs w:val="24"/>
        </w:rPr>
        <w:t xml:space="preserve">necessarily </w:t>
      </w:r>
      <w:r w:rsidR="00D9363A">
        <w:rPr>
          <w:rFonts w:ascii="Gill Sans MT" w:hAnsi="Gill Sans MT"/>
          <w:bCs/>
          <w:szCs w:val="24"/>
        </w:rPr>
        <w:t xml:space="preserve">more </w:t>
      </w:r>
      <w:r w:rsidR="00076EB4">
        <w:rPr>
          <w:rFonts w:ascii="Gill Sans MT" w:hAnsi="Gill Sans MT"/>
          <w:bCs/>
          <w:szCs w:val="24"/>
        </w:rPr>
        <w:t xml:space="preserve">complex and </w:t>
      </w:r>
      <w:r w:rsidR="00D9363A">
        <w:rPr>
          <w:rFonts w:ascii="Gill Sans MT" w:hAnsi="Gill Sans MT"/>
          <w:bCs/>
          <w:szCs w:val="24"/>
        </w:rPr>
        <w:t>costly to assess</w:t>
      </w:r>
      <w:r w:rsidR="004D60A9">
        <w:rPr>
          <w:rFonts w:ascii="Gill Sans MT" w:hAnsi="Gill Sans MT"/>
          <w:bCs/>
          <w:szCs w:val="24"/>
        </w:rPr>
        <w:t xml:space="preserve">. </w:t>
      </w:r>
    </w:p>
    <w:p w14:paraId="394B98CA" w14:textId="656D5292" w:rsidR="003F26EB" w:rsidRPr="001B0AA0" w:rsidRDefault="00EA7EAA" w:rsidP="00836009">
      <w:pPr>
        <w:spacing w:after="120"/>
        <w:rPr>
          <w:rFonts w:ascii="Gill Sans MT" w:hAnsi="Gill Sans MT"/>
          <w:bCs/>
          <w:i/>
          <w:szCs w:val="24"/>
        </w:rPr>
      </w:pPr>
      <w:r>
        <w:rPr>
          <w:rFonts w:ascii="Gill Sans MT" w:hAnsi="Gill Sans MT"/>
          <w:bCs/>
          <w:szCs w:val="24"/>
        </w:rPr>
        <w:t>The</w:t>
      </w:r>
      <w:r w:rsidR="001C57D6" w:rsidRPr="001B0AA0">
        <w:rPr>
          <w:rFonts w:ascii="Gill Sans MT" w:hAnsi="Gill Sans MT"/>
          <w:bCs/>
          <w:szCs w:val="24"/>
        </w:rPr>
        <w:t xml:space="preserve"> lack of certainty under the existing </w:t>
      </w:r>
      <w:r w:rsidR="00A2279B">
        <w:rPr>
          <w:rFonts w:ascii="Gill Sans MT" w:hAnsi="Gill Sans MT"/>
          <w:bCs/>
          <w:szCs w:val="24"/>
        </w:rPr>
        <w:t xml:space="preserve">PORS </w:t>
      </w:r>
      <w:r w:rsidR="00362606">
        <w:rPr>
          <w:rFonts w:ascii="Gill Sans MT" w:hAnsi="Gill Sans MT"/>
          <w:bCs/>
          <w:szCs w:val="24"/>
        </w:rPr>
        <w:t xml:space="preserve">assessment </w:t>
      </w:r>
      <w:r>
        <w:rPr>
          <w:rFonts w:ascii="Gill Sans MT" w:hAnsi="Gill Sans MT"/>
          <w:bCs/>
          <w:szCs w:val="24"/>
        </w:rPr>
        <w:t xml:space="preserve">process is </w:t>
      </w:r>
      <w:r w:rsidR="001C57D6" w:rsidRPr="001B0AA0">
        <w:rPr>
          <w:rFonts w:ascii="Gill Sans MT" w:hAnsi="Gill Sans MT"/>
          <w:bCs/>
          <w:szCs w:val="24"/>
        </w:rPr>
        <w:t xml:space="preserve">a disincentive to proponents </w:t>
      </w:r>
      <w:r>
        <w:rPr>
          <w:rFonts w:ascii="Gill Sans MT" w:hAnsi="Gill Sans MT"/>
          <w:bCs/>
          <w:szCs w:val="24"/>
        </w:rPr>
        <w:t>seeking to enter</w:t>
      </w:r>
      <w:r w:rsidR="001C57D6" w:rsidRPr="001B0AA0">
        <w:rPr>
          <w:rFonts w:ascii="Gill Sans MT" w:hAnsi="Gill Sans MT"/>
          <w:bCs/>
          <w:szCs w:val="24"/>
        </w:rPr>
        <w:t xml:space="preserve"> the process</w:t>
      </w:r>
      <w:r w:rsidR="00D9363A" w:rsidRPr="001B0AA0">
        <w:rPr>
          <w:rFonts w:ascii="Gill Sans MT" w:hAnsi="Gill Sans MT"/>
          <w:bCs/>
          <w:szCs w:val="24"/>
        </w:rPr>
        <w:t>.</w:t>
      </w:r>
      <w:r w:rsidR="0004148F" w:rsidRPr="001B0AA0">
        <w:rPr>
          <w:rFonts w:ascii="Gill Sans MT" w:hAnsi="Gill Sans MT"/>
          <w:bCs/>
          <w:szCs w:val="24"/>
        </w:rPr>
        <w:t xml:space="preserve"> </w:t>
      </w:r>
    </w:p>
    <w:p w14:paraId="243141DF" w14:textId="77777777" w:rsidR="00425C13" w:rsidRDefault="00425C13" w:rsidP="006C1C5F">
      <w:pPr>
        <w:spacing w:after="0"/>
        <w:rPr>
          <w:rFonts w:ascii="Gill Sans MT" w:eastAsia="Times New Roman" w:hAnsi="Gill Sans MT"/>
          <w:bCs/>
          <w:iCs/>
          <w:color w:val="5C7F92"/>
          <w:sz w:val="32"/>
          <w:szCs w:val="28"/>
        </w:rPr>
      </w:pPr>
      <w:r w:rsidRPr="00425C13">
        <w:rPr>
          <w:rFonts w:ascii="Gill Sans MT" w:eastAsia="Times New Roman" w:hAnsi="Gill Sans MT"/>
          <w:bCs/>
          <w:iCs/>
          <w:color w:val="5C7F92"/>
          <w:sz w:val="32"/>
          <w:szCs w:val="28"/>
        </w:rPr>
        <w:t>Wh</w:t>
      </w:r>
      <w:r>
        <w:rPr>
          <w:rFonts w:ascii="Gill Sans MT" w:eastAsia="Times New Roman" w:hAnsi="Gill Sans MT"/>
          <w:bCs/>
          <w:iCs/>
          <w:color w:val="5C7F92"/>
          <w:sz w:val="32"/>
          <w:szCs w:val="28"/>
        </w:rPr>
        <w:t>at features will be retained?</w:t>
      </w:r>
    </w:p>
    <w:p w14:paraId="10B8BC3D" w14:textId="28B0C1AD" w:rsidR="00425C13" w:rsidRDefault="001D1800" w:rsidP="00836009">
      <w:pPr>
        <w:spacing w:after="120"/>
        <w:rPr>
          <w:rFonts w:ascii="Gill Sans MT" w:hAnsi="Gill Sans MT"/>
          <w:bCs/>
          <w:szCs w:val="24"/>
        </w:rPr>
      </w:pPr>
      <w:r>
        <w:rPr>
          <w:rFonts w:ascii="Gill Sans MT" w:hAnsi="Gill Sans MT"/>
          <w:bCs/>
          <w:szCs w:val="24"/>
        </w:rPr>
        <w:t xml:space="preserve">The proposed </w:t>
      </w:r>
      <w:r w:rsidR="00A2279B">
        <w:rPr>
          <w:rFonts w:ascii="Gill Sans MT" w:hAnsi="Gill Sans MT"/>
          <w:bCs/>
          <w:szCs w:val="24"/>
        </w:rPr>
        <w:t>major projects</w:t>
      </w:r>
      <w:r w:rsidR="00B8182A">
        <w:rPr>
          <w:rFonts w:ascii="Gill Sans MT" w:hAnsi="Gill Sans MT"/>
          <w:bCs/>
          <w:szCs w:val="24"/>
        </w:rPr>
        <w:t xml:space="preserve"> assessment </w:t>
      </w:r>
      <w:r>
        <w:rPr>
          <w:rFonts w:ascii="Gill Sans MT" w:hAnsi="Gill Sans MT"/>
          <w:bCs/>
          <w:szCs w:val="24"/>
        </w:rPr>
        <w:t xml:space="preserve">process retains </w:t>
      </w:r>
      <w:r w:rsidR="005B5906">
        <w:rPr>
          <w:rFonts w:ascii="Gill Sans MT" w:hAnsi="Gill Sans MT"/>
          <w:bCs/>
          <w:szCs w:val="24"/>
        </w:rPr>
        <w:t>some</w:t>
      </w:r>
      <w:r>
        <w:rPr>
          <w:rFonts w:ascii="Gill Sans MT" w:hAnsi="Gill Sans MT"/>
          <w:bCs/>
          <w:szCs w:val="24"/>
        </w:rPr>
        <w:t xml:space="preserve"> core features of the current PORS </w:t>
      </w:r>
      <w:r w:rsidR="00071655">
        <w:rPr>
          <w:rFonts w:ascii="Gill Sans MT" w:hAnsi="Gill Sans MT"/>
          <w:bCs/>
          <w:szCs w:val="24"/>
        </w:rPr>
        <w:t xml:space="preserve">assessment </w:t>
      </w:r>
      <w:r>
        <w:rPr>
          <w:rFonts w:ascii="Gill Sans MT" w:hAnsi="Gill Sans MT"/>
          <w:bCs/>
          <w:szCs w:val="24"/>
        </w:rPr>
        <w:t>process. These include:</w:t>
      </w:r>
    </w:p>
    <w:p w14:paraId="1A1A3ACB" w14:textId="7EA13B27" w:rsidR="00736310" w:rsidRPr="000F047B" w:rsidRDefault="00736310" w:rsidP="0047687A">
      <w:pPr>
        <w:pStyle w:val="ListParagraph"/>
        <w:numPr>
          <w:ilvl w:val="0"/>
          <w:numId w:val="38"/>
        </w:numPr>
        <w:tabs>
          <w:tab w:val="left" w:pos="2552"/>
        </w:tabs>
        <w:spacing w:after="0"/>
        <w:ind w:left="714" w:hanging="357"/>
        <w:contextualSpacing w:val="0"/>
        <w:rPr>
          <w:rFonts w:ascii="Gill Sans MT" w:hAnsi="Gill Sans MT"/>
          <w:bCs/>
          <w:szCs w:val="24"/>
        </w:rPr>
      </w:pPr>
      <w:r w:rsidRPr="000F047B">
        <w:rPr>
          <w:rFonts w:ascii="Gill Sans MT" w:hAnsi="Gill Sans MT"/>
          <w:bCs/>
          <w:szCs w:val="24"/>
        </w:rPr>
        <w:t>I</w:t>
      </w:r>
      <w:r w:rsidR="001D1800" w:rsidRPr="000F047B">
        <w:rPr>
          <w:rFonts w:ascii="Gill Sans MT" w:hAnsi="Gill Sans MT"/>
          <w:bCs/>
          <w:szCs w:val="24"/>
        </w:rPr>
        <w:t xml:space="preserve">ndependent </w:t>
      </w:r>
      <w:r w:rsidRPr="000F047B">
        <w:rPr>
          <w:rFonts w:ascii="Gill Sans MT" w:hAnsi="Gill Sans MT"/>
          <w:bCs/>
          <w:szCs w:val="24"/>
        </w:rPr>
        <w:t xml:space="preserve">assessment by an expert </w:t>
      </w:r>
      <w:r w:rsidR="00652653">
        <w:rPr>
          <w:rFonts w:ascii="Gill Sans MT" w:hAnsi="Gill Sans MT"/>
          <w:bCs/>
          <w:szCs w:val="24"/>
        </w:rPr>
        <w:t xml:space="preserve">Development Assessment </w:t>
      </w:r>
      <w:r w:rsidRPr="000F047B">
        <w:rPr>
          <w:rFonts w:ascii="Gill Sans MT" w:hAnsi="Gill Sans MT"/>
          <w:bCs/>
          <w:szCs w:val="24"/>
        </w:rPr>
        <w:t xml:space="preserve">Panel </w:t>
      </w:r>
      <w:r w:rsidR="005927F1">
        <w:rPr>
          <w:rFonts w:ascii="Gill Sans MT" w:hAnsi="Gill Sans MT"/>
          <w:bCs/>
          <w:szCs w:val="24"/>
        </w:rPr>
        <w:t>established</w:t>
      </w:r>
      <w:r w:rsidRPr="000F047B">
        <w:rPr>
          <w:rFonts w:ascii="Gill Sans MT" w:hAnsi="Gill Sans MT"/>
          <w:bCs/>
          <w:szCs w:val="24"/>
        </w:rPr>
        <w:t xml:space="preserve"> by the Tasmanian Planning Commission</w:t>
      </w:r>
      <w:r w:rsidR="00F31E6A">
        <w:rPr>
          <w:rFonts w:ascii="Gill Sans MT" w:hAnsi="Gill Sans MT"/>
          <w:bCs/>
          <w:szCs w:val="24"/>
        </w:rPr>
        <w:t>,</w:t>
      </w:r>
      <w:r w:rsidRPr="000F047B">
        <w:rPr>
          <w:rFonts w:ascii="Gill Sans MT" w:hAnsi="Gill Sans MT"/>
          <w:bCs/>
          <w:szCs w:val="24"/>
        </w:rPr>
        <w:t xml:space="preserve"> and by </w:t>
      </w:r>
      <w:r w:rsidR="0047687A">
        <w:rPr>
          <w:rFonts w:ascii="Gill Sans MT" w:hAnsi="Gill Sans MT"/>
          <w:bCs/>
          <w:szCs w:val="24"/>
        </w:rPr>
        <w:t>participating</w:t>
      </w:r>
      <w:r w:rsidRPr="000F047B">
        <w:rPr>
          <w:rFonts w:ascii="Gill Sans MT" w:hAnsi="Gill Sans MT"/>
          <w:bCs/>
          <w:szCs w:val="24"/>
        </w:rPr>
        <w:t xml:space="preserve"> regulators</w:t>
      </w:r>
      <w:r w:rsidR="000F047B">
        <w:rPr>
          <w:rFonts w:ascii="Gill Sans MT" w:hAnsi="Gill Sans MT"/>
          <w:bCs/>
          <w:szCs w:val="24"/>
        </w:rPr>
        <w:t>;</w:t>
      </w:r>
    </w:p>
    <w:p w14:paraId="7B4E2DEC" w14:textId="77777777" w:rsidR="00736310" w:rsidRPr="000F047B" w:rsidRDefault="000F047B" w:rsidP="000F047B">
      <w:pPr>
        <w:pStyle w:val="ListParagraph"/>
        <w:numPr>
          <w:ilvl w:val="0"/>
          <w:numId w:val="38"/>
        </w:numPr>
        <w:spacing w:after="0"/>
        <w:ind w:left="714" w:hanging="357"/>
        <w:contextualSpacing w:val="0"/>
        <w:rPr>
          <w:rFonts w:ascii="Gill Sans MT" w:hAnsi="Gill Sans MT"/>
          <w:bCs/>
          <w:szCs w:val="24"/>
        </w:rPr>
      </w:pPr>
      <w:r w:rsidRPr="000F047B">
        <w:rPr>
          <w:rFonts w:ascii="Gill Sans MT" w:hAnsi="Gill Sans MT"/>
          <w:bCs/>
          <w:szCs w:val="24"/>
        </w:rPr>
        <w:t xml:space="preserve">A coordinated assessment and combined permit approval </w:t>
      </w:r>
      <w:r>
        <w:rPr>
          <w:rFonts w:ascii="Gill Sans MT" w:hAnsi="Gill Sans MT"/>
          <w:bCs/>
          <w:szCs w:val="24"/>
        </w:rPr>
        <w:t>process; and</w:t>
      </w:r>
    </w:p>
    <w:p w14:paraId="6A2E0017" w14:textId="67EDA9E5" w:rsidR="00B87C87" w:rsidRPr="00564F3C" w:rsidRDefault="000F047B" w:rsidP="00564F3C">
      <w:pPr>
        <w:pStyle w:val="ListParagraph"/>
        <w:numPr>
          <w:ilvl w:val="0"/>
          <w:numId w:val="38"/>
        </w:numPr>
        <w:spacing w:after="0"/>
        <w:ind w:left="714" w:hanging="357"/>
        <w:contextualSpacing w:val="0"/>
        <w:rPr>
          <w:rFonts w:ascii="Gill Sans MT" w:hAnsi="Gill Sans MT"/>
          <w:bCs/>
          <w:szCs w:val="24"/>
        </w:rPr>
      </w:pPr>
      <w:r w:rsidRPr="000F047B">
        <w:rPr>
          <w:rFonts w:ascii="Gill Sans MT" w:hAnsi="Gill Sans MT"/>
          <w:bCs/>
          <w:szCs w:val="24"/>
        </w:rPr>
        <w:t>Accreditation of the environmental assessment process under the Commonwealth</w:t>
      </w:r>
      <w:r w:rsidR="00174D7E">
        <w:rPr>
          <w:rFonts w:ascii="Gill Sans MT" w:hAnsi="Gill Sans MT"/>
          <w:bCs/>
          <w:szCs w:val="24"/>
        </w:rPr>
        <w:t>’s</w:t>
      </w:r>
      <w:r w:rsidRPr="000F047B">
        <w:rPr>
          <w:rFonts w:ascii="Gill Sans MT" w:hAnsi="Gill Sans MT"/>
          <w:bCs/>
          <w:szCs w:val="24"/>
        </w:rPr>
        <w:t xml:space="preserve"> </w:t>
      </w:r>
      <w:r w:rsidRPr="000F047B">
        <w:rPr>
          <w:rFonts w:ascii="Gill Sans MT" w:hAnsi="Gill Sans MT"/>
          <w:bCs/>
          <w:i/>
          <w:szCs w:val="24"/>
        </w:rPr>
        <w:t>Environmental Protection and Biodiversity Conservation Act 1999</w:t>
      </w:r>
      <w:r w:rsidR="00440FEA">
        <w:rPr>
          <w:rFonts w:ascii="Gill Sans MT" w:hAnsi="Gill Sans MT"/>
          <w:bCs/>
          <w:i/>
          <w:szCs w:val="24"/>
        </w:rPr>
        <w:t xml:space="preserve"> </w:t>
      </w:r>
      <w:r w:rsidR="00440FEA" w:rsidRPr="00440FEA">
        <w:rPr>
          <w:rFonts w:ascii="Gill Sans MT" w:hAnsi="Gill Sans MT"/>
          <w:bCs/>
          <w:szCs w:val="24"/>
        </w:rPr>
        <w:t>(the EPBC Act)</w:t>
      </w:r>
      <w:r w:rsidRPr="000F047B">
        <w:rPr>
          <w:rFonts w:ascii="Gill Sans MT" w:hAnsi="Gill Sans MT"/>
          <w:bCs/>
          <w:i/>
          <w:szCs w:val="24"/>
        </w:rPr>
        <w:t>.</w:t>
      </w:r>
      <w:r w:rsidRPr="000F047B">
        <w:rPr>
          <w:rFonts w:ascii="Gill Sans MT" w:hAnsi="Gill Sans MT"/>
          <w:bCs/>
          <w:szCs w:val="24"/>
        </w:rPr>
        <w:t xml:space="preserve">  </w:t>
      </w:r>
    </w:p>
    <w:p w14:paraId="7C2A5F8C" w14:textId="77777777" w:rsidR="00F61C3B" w:rsidRDefault="00F61C3B" w:rsidP="00F61C3B">
      <w:pPr>
        <w:pStyle w:val="Heading2"/>
      </w:pPr>
      <w:r>
        <w:t>What consultation has there been so far?</w:t>
      </w:r>
    </w:p>
    <w:p w14:paraId="00A069FC" w14:textId="77777777" w:rsidR="00F61C3B" w:rsidRDefault="00F61C3B" w:rsidP="00F61C3B">
      <w:pPr>
        <w:spacing w:after="120"/>
        <w:rPr>
          <w:rFonts w:ascii="Gill Sans MT" w:hAnsi="Gill Sans MT"/>
          <w:bCs/>
          <w:szCs w:val="24"/>
        </w:rPr>
      </w:pPr>
      <w:r>
        <w:rPr>
          <w:rFonts w:ascii="Gill Sans MT" w:hAnsi="Gill Sans MT"/>
          <w:bCs/>
          <w:szCs w:val="24"/>
        </w:rPr>
        <w:t>The draft Bill has been developed in consultation with the Planning Reform Taskforce and key State Government agencies. The Commonwealth Department of the Environment and Energy has also been consulted on the proposal to seek accreditation of the new process under the Bilateral Agreement between Tasmania and the Commonwealth on environmental assessments under the EPBC Act.</w:t>
      </w:r>
    </w:p>
    <w:p w14:paraId="250EA038" w14:textId="77777777" w:rsidR="00F61C3B" w:rsidRDefault="00F61C3B" w:rsidP="00F61C3B">
      <w:pPr>
        <w:spacing w:after="120"/>
        <w:rPr>
          <w:rFonts w:ascii="Gill Sans MT" w:hAnsi="Gill Sans MT"/>
          <w:bCs/>
          <w:szCs w:val="24"/>
        </w:rPr>
      </w:pPr>
      <w:r>
        <w:rPr>
          <w:rFonts w:ascii="Gill Sans MT" w:hAnsi="Gill Sans MT"/>
          <w:bCs/>
          <w:szCs w:val="24"/>
        </w:rPr>
        <w:t>The first period for comment on the draft Bill closed on 2 October 2017 and 198 submissions were received. The submissions raised a number of issues that have been considered by the Government in preparing this revised draft Bill.</w:t>
      </w:r>
    </w:p>
    <w:p w14:paraId="3D255C9C" w14:textId="77777777" w:rsidR="00F61C3B" w:rsidRDefault="00F61C3B" w:rsidP="00F61C3B">
      <w:pPr>
        <w:pStyle w:val="Heading2"/>
      </w:pPr>
      <w:r>
        <w:t>Where do I find the revised draft Bill?</w:t>
      </w:r>
    </w:p>
    <w:p w14:paraId="5D5EB0F6" w14:textId="29C0BA11" w:rsidR="00F61C3B" w:rsidRDefault="00F61C3B" w:rsidP="00F61C3B">
      <w:pPr>
        <w:spacing w:after="0"/>
        <w:rPr>
          <w:rFonts w:ascii="Gill Sans MT" w:hAnsi="Gill Sans MT"/>
        </w:rPr>
      </w:pPr>
      <w:r>
        <w:rPr>
          <w:rFonts w:ascii="Gill Sans MT" w:hAnsi="Gill Sans MT"/>
          <w:bCs/>
          <w:szCs w:val="24"/>
        </w:rPr>
        <w:t xml:space="preserve">A copy of the revised draft Bill, a second Consultation Paper and the accompanying seven Fact Sheets are available at </w:t>
      </w:r>
      <w:hyperlink r:id="rId14" w:history="1">
        <w:r w:rsidRPr="00F61C3B">
          <w:rPr>
            <w:rStyle w:val="Hyperlink"/>
            <w:rFonts w:ascii="Gill Sans MT" w:hAnsi="Gill Sans MT"/>
            <w:bCs/>
            <w:szCs w:val="24"/>
          </w:rPr>
          <w:t>www.planningreform.tas.gov.au</w:t>
        </w:r>
      </w:hyperlink>
      <w:r w:rsidRPr="00F61C3B">
        <w:rPr>
          <w:rFonts w:ascii="Gill Sans MT" w:hAnsi="Gill Sans MT"/>
          <w:bCs/>
          <w:szCs w:val="24"/>
        </w:rPr>
        <w:t xml:space="preserve"> or at </w:t>
      </w:r>
      <w:hyperlink r:id="rId15" w:history="1">
        <w:r w:rsidRPr="00F61C3B">
          <w:rPr>
            <w:rStyle w:val="Hyperlink"/>
            <w:rFonts w:ascii="Gill Sans MT" w:hAnsi="Gill Sans MT"/>
            <w:bCs/>
            <w:szCs w:val="24"/>
          </w:rPr>
          <w:t>www.justice.tas.gov.au</w:t>
        </w:r>
      </w:hyperlink>
      <w:r w:rsidRPr="00F61C3B">
        <w:rPr>
          <w:rFonts w:ascii="Gill Sans MT" w:hAnsi="Gill Sans MT"/>
        </w:rPr>
        <w:t>.</w:t>
      </w:r>
    </w:p>
    <w:p w14:paraId="61AEF611" w14:textId="77777777" w:rsidR="009432DE" w:rsidRDefault="009432DE" w:rsidP="00F61C3B">
      <w:pPr>
        <w:spacing w:after="0"/>
        <w:rPr>
          <w:rStyle w:val="Hyperlink"/>
          <w:rFonts w:ascii="Gill Sans MT" w:hAnsi="Gill Sans MT"/>
          <w:bCs/>
          <w:szCs w:val="24"/>
        </w:rPr>
      </w:pPr>
    </w:p>
    <w:p w14:paraId="03A355B6" w14:textId="77777777" w:rsidR="00564F3C" w:rsidRDefault="00564F3C" w:rsidP="00564F3C">
      <w:pPr>
        <w:pStyle w:val="Heading2"/>
      </w:pPr>
      <w:r>
        <w:lastRenderedPageBreak/>
        <w:t>How can I comment?</w:t>
      </w:r>
    </w:p>
    <w:p w14:paraId="2C1BC6D0" w14:textId="77777777" w:rsidR="00564F3C" w:rsidRDefault="00564F3C" w:rsidP="00564F3C">
      <w:pPr>
        <w:spacing w:after="120"/>
        <w:rPr>
          <w:rFonts w:ascii="Gill Sans MT" w:hAnsi="Gill Sans MT"/>
          <w:bCs/>
          <w:szCs w:val="24"/>
        </w:rPr>
      </w:pPr>
      <w:r>
        <w:rPr>
          <w:rFonts w:ascii="Gill Sans MT" w:hAnsi="Gill Sans MT"/>
          <w:bCs/>
          <w:szCs w:val="24"/>
        </w:rPr>
        <w:t>Comment on the proposed changes to the draft Bill are invited by</w:t>
      </w:r>
      <w:r>
        <w:rPr>
          <w:rFonts w:ascii="Gill Sans MT" w:hAnsi="Gill Sans MT"/>
          <w:b/>
          <w:bCs/>
          <w:szCs w:val="24"/>
        </w:rPr>
        <w:t xml:space="preserve"> </w:t>
      </w:r>
      <w:r>
        <w:rPr>
          <w:rFonts w:ascii="Gill Sans MT" w:hAnsi="Gill Sans MT"/>
          <w:b/>
        </w:rPr>
        <w:t>Monday, 29 January 2018</w:t>
      </w:r>
      <w:r>
        <w:rPr>
          <w:rFonts w:ascii="Gill Sans MT" w:hAnsi="Gill Sans MT"/>
          <w:bCs/>
          <w:szCs w:val="24"/>
        </w:rPr>
        <w:t xml:space="preserve">. Comments should be marked ‘Major Projects Reform’ and can be emailed to </w:t>
      </w:r>
      <w:hyperlink r:id="rId16" w:history="1">
        <w:r w:rsidRPr="00564F3C">
          <w:rPr>
            <w:rStyle w:val="Hyperlink"/>
            <w:rFonts w:ascii="Gill Sans MT" w:hAnsi="Gill Sans MT"/>
            <w:bCs/>
            <w:szCs w:val="24"/>
          </w:rPr>
          <w:t>Planning.Unit@justice.tas.gov.au</w:t>
        </w:r>
      </w:hyperlink>
      <w:r>
        <w:rPr>
          <w:rFonts w:ascii="Gill Sans MT" w:hAnsi="Gill Sans MT"/>
          <w:bCs/>
          <w:szCs w:val="24"/>
        </w:rPr>
        <w:t xml:space="preserve"> or posted to:</w:t>
      </w:r>
    </w:p>
    <w:p w14:paraId="40A6ED08" w14:textId="77777777" w:rsidR="00564F3C" w:rsidRDefault="00564F3C" w:rsidP="00564F3C">
      <w:pPr>
        <w:spacing w:before="0" w:after="0"/>
        <w:ind w:left="720"/>
        <w:rPr>
          <w:rFonts w:ascii="Gill Sans MT" w:hAnsi="Gill Sans MT"/>
          <w:bCs/>
          <w:szCs w:val="24"/>
        </w:rPr>
      </w:pPr>
      <w:r>
        <w:rPr>
          <w:rFonts w:ascii="Gill Sans MT" w:hAnsi="Gill Sans MT"/>
          <w:bCs/>
          <w:szCs w:val="24"/>
        </w:rPr>
        <w:t>Planning Policy Unit</w:t>
      </w:r>
    </w:p>
    <w:p w14:paraId="5EE03315" w14:textId="77777777" w:rsidR="00564F3C" w:rsidRDefault="00564F3C" w:rsidP="00564F3C">
      <w:pPr>
        <w:spacing w:before="0" w:after="0"/>
        <w:ind w:left="720"/>
        <w:rPr>
          <w:rFonts w:ascii="Gill Sans MT" w:hAnsi="Gill Sans MT"/>
          <w:bCs/>
          <w:szCs w:val="24"/>
        </w:rPr>
      </w:pPr>
      <w:r>
        <w:rPr>
          <w:rFonts w:ascii="Gill Sans MT" w:hAnsi="Gill Sans MT"/>
          <w:bCs/>
          <w:szCs w:val="24"/>
        </w:rPr>
        <w:t xml:space="preserve">Department of Justice </w:t>
      </w:r>
    </w:p>
    <w:p w14:paraId="5A148B0A" w14:textId="77777777" w:rsidR="00564F3C" w:rsidRDefault="00564F3C" w:rsidP="00564F3C">
      <w:pPr>
        <w:spacing w:before="0" w:after="0"/>
        <w:ind w:left="720"/>
        <w:rPr>
          <w:rFonts w:ascii="Gill Sans MT" w:hAnsi="Gill Sans MT"/>
          <w:bCs/>
          <w:szCs w:val="24"/>
        </w:rPr>
      </w:pPr>
      <w:r>
        <w:rPr>
          <w:rFonts w:ascii="Gill Sans MT" w:hAnsi="Gill Sans MT"/>
          <w:bCs/>
          <w:szCs w:val="24"/>
        </w:rPr>
        <w:t xml:space="preserve">GPO Box 825  </w:t>
      </w:r>
    </w:p>
    <w:p w14:paraId="6126D360" w14:textId="77777777" w:rsidR="00564F3C" w:rsidRDefault="00564F3C" w:rsidP="00564F3C">
      <w:pPr>
        <w:spacing w:before="0" w:after="120"/>
        <w:ind w:left="720"/>
        <w:rPr>
          <w:rFonts w:ascii="Gill Sans MT" w:hAnsi="Gill Sans MT"/>
          <w:bCs/>
          <w:szCs w:val="24"/>
        </w:rPr>
      </w:pPr>
      <w:r>
        <w:rPr>
          <w:rFonts w:ascii="Gill Sans MT" w:hAnsi="Gill Sans MT"/>
          <w:bCs/>
          <w:szCs w:val="24"/>
        </w:rPr>
        <w:t>HOBART  TAS  7001</w:t>
      </w:r>
    </w:p>
    <w:p w14:paraId="2987F46D" w14:textId="77777777" w:rsidR="00564F3C" w:rsidRDefault="00564F3C" w:rsidP="00564F3C">
      <w:pPr>
        <w:spacing w:after="120"/>
        <w:rPr>
          <w:rFonts w:ascii="Gill Sans MT" w:hAnsi="Gill Sans MT"/>
          <w:bCs/>
          <w:szCs w:val="24"/>
        </w:rPr>
      </w:pPr>
      <w:r>
        <w:rPr>
          <w:rFonts w:ascii="Gill Sans MT" w:hAnsi="Gill Sans MT"/>
          <w:bCs/>
          <w:szCs w:val="24"/>
        </w:rPr>
        <w:t>Further enquiries can be directed to the Planning Policy Unit at the above email address or by telephoning (03) 6166 1429.</w:t>
      </w:r>
    </w:p>
    <w:p w14:paraId="5FB8B850" w14:textId="77777777" w:rsidR="00564F3C" w:rsidRDefault="00564F3C" w:rsidP="00564F3C">
      <w:pPr>
        <w:spacing w:after="120"/>
        <w:rPr>
          <w:rFonts w:ascii="Gill Sans MT" w:hAnsi="Gill Sans MT"/>
          <w:bCs/>
          <w:szCs w:val="24"/>
        </w:rPr>
      </w:pPr>
    </w:p>
    <w:p w14:paraId="4C83B02D" w14:textId="77777777" w:rsidR="00564F3C" w:rsidRDefault="00564F3C" w:rsidP="00564F3C">
      <w:pPr>
        <w:spacing w:after="120"/>
        <w:rPr>
          <w:rFonts w:ascii="Gill Sans MT" w:hAnsi="Gill Sans MT"/>
          <w:bCs/>
          <w:szCs w:val="24"/>
        </w:rPr>
      </w:pPr>
      <w:r>
        <w:rPr>
          <w:rFonts w:ascii="Gill Sans MT" w:hAnsi="Gill Sans MT"/>
          <w:bCs/>
          <w:szCs w:val="24"/>
        </w:rPr>
        <w:t>December 2017</w:t>
      </w:r>
    </w:p>
    <w:p w14:paraId="056BCB5C" w14:textId="77777777" w:rsidR="00564F3C" w:rsidRPr="001710E9" w:rsidRDefault="00564F3C" w:rsidP="001710E9">
      <w:pPr>
        <w:spacing w:after="120"/>
        <w:rPr>
          <w:rFonts w:ascii="Gill Sans MT" w:hAnsi="Gill Sans MT"/>
          <w:bCs/>
          <w:szCs w:val="24"/>
        </w:rPr>
      </w:pPr>
    </w:p>
    <w:sectPr w:rsidR="00564F3C" w:rsidRPr="001710E9" w:rsidSect="006D0404">
      <w:headerReference w:type="even" r:id="rId17"/>
      <w:headerReference w:type="default" r:id="rId18"/>
      <w:footerReference w:type="default" r:id="rId19"/>
      <w:headerReference w:type="first" r:id="rId20"/>
      <w:type w:val="continuous"/>
      <w:pgSz w:w="11900" w:h="16840"/>
      <w:pgMar w:top="2694" w:right="985" w:bottom="1135" w:left="1418" w:header="709" w:footer="6" w:gutter="0"/>
      <w:cols w:num="2"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4646D3" w14:textId="77777777" w:rsidR="003A32A4" w:rsidRDefault="003A32A4">
      <w:pPr>
        <w:spacing w:before="0" w:after="0" w:line="240" w:lineRule="auto"/>
      </w:pPr>
      <w:r>
        <w:separator/>
      </w:r>
    </w:p>
  </w:endnote>
  <w:endnote w:type="continuationSeparator" w:id="0">
    <w:p w14:paraId="4B30A50D" w14:textId="77777777" w:rsidR="003A32A4" w:rsidRDefault="003A32A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1002AFF" w:usb1="4000ACFF" w:usb2="00000009" w:usb3="00000000" w:csb0="000001FF" w:csb1="00000000"/>
  </w:font>
  <w:font w:name="Gill Sans Light">
    <w:altName w:val="Times New Roman"/>
    <w:panose1 w:val="00000000000000000000"/>
    <w:charset w:val="00"/>
    <w:family w:val="roman"/>
    <w:notTrueType/>
    <w:pitch w:val="default"/>
  </w:font>
  <w:font w:name="Cambria">
    <w:panose1 w:val="02040503050406030204"/>
    <w:charset w:val="00"/>
    <w:family w:val="roman"/>
    <w:pitch w:val="variable"/>
    <w:sig w:usb0="A00002EF" w:usb1="4000004B" w:usb2="00000000" w:usb3="00000000" w:csb0="0000019F" w:csb1="00000000"/>
  </w:font>
  <w:font w:name="Gill Sans">
    <w:altName w:val="GillSans Light"/>
    <w:charset w:val="00"/>
    <w:family w:val="auto"/>
    <w:pitch w:val="variable"/>
    <w:sig w:usb0="00000003" w:usb1="00000000" w:usb2="00000000" w:usb3="00000000" w:csb0="00000001" w:csb1="00000000"/>
  </w:font>
  <w:font w:name="GillSans">
    <w:altName w:val="Lucida Sans Unicode"/>
    <w:charset w:val="00"/>
    <w:family w:val="swiss"/>
    <w:pitch w:val="variable"/>
    <w:sig w:usb0="00000001"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937CC" w14:textId="77777777" w:rsidR="00FB2E1E" w:rsidRDefault="00FB2E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F8E6E" w14:textId="77777777" w:rsidR="000A5AB0" w:rsidRDefault="000A5AB0" w:rsidP="007427BF">
    <w:pPr>
      <w:pStyle w:val="Footer"/>
      <w:ind w:left="-567"/>
    </w:pPr>
    <w:r>
      <w:rPr>
        <w:noProof/>
        <w:lang w:eastAsia="en-AU"/>
      </w:rPr>
      <w:drawing>
        <wp:anchor distT="0" distB="0" distL="114300" distR="114300" simplePos="0" relativeHeight="251655680" behindDoc="0" locked="0" layoutInCell="1" allowOverlap="1" wp14:anchorId="3B984381" wp14:editId="5B6283D4">
          <wp:simplePos x="0" y="0"/>
          <wp:positionH relativeFrom="column">
            <wp:posOffset>-798830</wp:posOffset>
          </wp:positionH>
          <wp:positionV relativeFrom="page">
            <wp:posOffset>9454515</wp:posOffset>
          </wp:positionV>
          <wp:extent cx="7366000" cy="393700"/>
          <wp:effectExtent l="0" t="0" r="6350" b="6350"/>
          <wp:wrapNone/>
          <wp:docPr id="9" name="Picture 9" descr="base w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se Wav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0" cy="393700"/>
                  </a:xfrm>
                  <a:prstGeom prst="rect">
                    <a:avLst/>
                  </a:prstGeom>
                  <a:noFill/>
                </pic:spPr>
              </pic:pic>
            </a:graphicData>
          </a:graphic>
          <wp14:sizeRelH relativeFrom="page">
            <wp14:pctWidth>0</wp14:pctWidth>
          </wp14:sizeRelH>
          <wp14:sizeRelV relativeFrom="page">
            <wp14:pctHeight>0</wp14:pctHeight>
          </wp14:sizeRelV>
        </wp:anchor>
      </w:drawing>
    </w:r>
  </w:p>
  <w:p w14:paraId="60C7D984" w14:textId="77777777" w:rsidR="000A5AB0" w:rsidRDefault="000A5AB0" w:rsidP="007427BF">
    <w:pPr>
      <w:pStyle w:val="Footer"/>
      <w:ind w:left="-567"/>
    </w:pPr>
    <w:r>
      <w:rPr>
        <w:noProof/>
        <w:lang w:eastAsia="en-AU"/>
      </w:rPr>
      <w:drawing>
        <wp:anchor distT="0" distB="0" distL="114300" distR="114300" simplePos="0" relativeHeight="251658752" behindDoc="0" locked="0" layoutInCell="1" allowOverlap="1" wp14:anchorId="6D683F4B" wp14:editId="535113EF">
          <wp:simplePos x="0" y="0"/>
          <wp:positionH relativeFrom="column">
            <wp:posOffset>4890770</wp:posOffset>
          </wp:positionH>
          <wp:positionV relativeFrom="paragraph">
            <wp:posOffset>320040</wp:posOffset>
          </wp:positionV>
          <wp:extent cx="1323975" cy="476250"/>
          <wp:effectExtent l="0" t="0" r="9525" b="0"/>
          <wp:wrapNone/>
          <wp:docPr id="10" name="Picture 10" descr="Tasmanian Govern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fred.showell\Desktop\Files - Tasmanian Government version\JPG\100079 Tas Gov_no tag_rgb_ho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476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F088B3" w14:textId="77777777" w:rsidR="000A5AB0" w:rsidRDefault="000A5AB0" w:rsidP="007427BF">
    <w:pPr>
      <w:pStyle w:val="Footer"/>
      <w:ind w:left="-567"/>
    </w:pPr>
  </w:p>
  <w:p w14:paraId="3FB91C82" w14:textId="77777777" w:rsidR="000A5AB0" w:rsidRDefault="000A5AB0" w:rsidP="007427BF">
    <w:pPr>
      <w:pStyle w:val="Footertext"/>
      <w:ind w:left="-567"/>
    </w:pPr>
    <w:r>
      <w:t>Department of Justice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B1DFF3" w14:textId="77777777" w:rsidR="00FB2E1E" w:rsidRDefault="00FB2E1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8358675"/>
      <w:docPartObj>
        <w:docPartGallery w:val="Page Numbers (Bottom of Page)"/>
        <w:docPartUnique/>
      </w:docPartObj>
    </w:sdtPr>
    <w:sdtEndPr>
      <w:rPr>
        <w:noProof/>
      </w:rPr>
    </w:sdtEndPr>
    <w:sdtContent>
      <w:p w14:paraId="57DB4496" w14:textId="367E3E71" w:rsidR="000A5AB0" w:rsidRDefault="000A5AB0">
        <w:pPr>
          <w:pStyle w:val="Footer"/>
          <w:jc w:val="center"/>
        </w:pPr>
        <w:r>
          <w:fldChar w:fldCharType="begin"/>
        </w:r>
        <w:r>
          <w:instrText xml:space="preserve"> PAGE   \* MERGEFORMAT </w:instrText>
        </w:r>
        <w:r>
          <w:fldChar w:fldCharType="separate"/>
        </w:r>
        <w:r w:rsidR="009C4E2E">
          <w:rPr>
            <w:noProof/>
          </w:rPr>
          <w:t>3</w:t>
        </w:r>
        <w:r>
          <w:rPr>
            <w:noProof/>
          </w:rPr>
          <w:fldChar w:fldCharType="end"/>
        </w:r>
      </w:p>
    </w:sdtContent>
  </w:sdt>
  <w:p w14:paraId="11E30BEE" w14:textId="77777777" w:rsidR="000A5AB0" w:rsidRPr="00C279FC" w:rsidRDefault="000A5AB0" w:rsidP="00A5389A">
    <w:pPr>
      <w:spacing w:before="0" w:after="40"/>
      <w:rPr>
        <w:rFonts w:ascii="Gill Sans MT" w:hAnsi="Gill Sans M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CD785" w14:textId="77777777" w:rsidR="003A32A4" w:rsidRDefault="003A32A4">
      <w:pPr>
        <w:spacing w:before="0" w:after="0" w:line="240" w:lineRule="auto"/>
      </w:pPr>
      <w:r>
        <w:separator/>
      </w:r>
    </w:p>
  </w:footnote>
  <w:footnote w:type="continuationSeparator" w:id="0">
    <w:p w14:paraId="1FBC9D22" w14:textId="77777777" w:rsidR="003A32A4" w:rsidRDefault="003A32A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C2F1E5" w14:textId="77777777" w:rsidR="00FB2E1E" w:rsidRDefault="00FB2E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53723E" w14:textId="77777777" w:rsidR="000A5AB0" w:rsidRPr="0098598C" w:rsidRDefault="000A5AB0" w:rsidP="00D86A7F">
    <w:pPr>
      <w:tabs>
        <w:tab w:val="left" w:pos="6804"/>
      </w:tabs>
      <w:rPr>
        <w:rFonts w:ascii="Gill Sans MT" w:hAnsi="Gill Sans MT"/>
        <w:b/>
      </w:rPr>
    </w:pPr>
    <w:r>
      <w:rPr>
        <w:rFonts w:ascii="Gill Sans MT" w:hAnsi="Gill Sans MT"/>
        <w:b/>
      </w:rPr>
      <w:tab/>
    </w:r>
    <w:r w:rsidR="00D86A7F">
      <w:rPr>
        <w:rFonts w:ascii="Gill Sans MT" w:hAnsi="Gill Sans MT"/>
        <w:b/>
      </w:rPr>
      <w:t>FACT SHEET 1</w:t>
    </w:r>
  </w:p>
  <w:p w14:paraId="1B527603" w14:textId="77777777" w:rsidR="000A5AB0" w:rsidRDefault="000A5AB0" w:rsidP="00A5389A">
    <w:pPr>
      <w:pStyle w:val="Header"/>
      <w:tabs>
        <w:tab w:val="clear" w:pos="8640"/>
        <w:tab w:val="right" w:pos="8647"/>
      </w:tabs>
    </w:pPr>
    <w:r>
      <w:rPr>
        <w:lang w:val="en-AU" w:eastAsia="en-AU"/>
      </w:rPr>
      <w:drawing>
        <wp:anchor distT="0" distB="0" distL="114300" distR="114300" simplePos="0" relativeHeight="251656704" behindDoc="1" locked="0" layoutInCell="1" allowOverlap="1" wp14:anchorId="789BA334" wp14:editId="05D0F01D">
          <wp:simplePos x="0" y="0"/>
          <wp:positionH relativeFrom="column">
            <wp:posOffset>-1341120</wp:posOffset>
          </wp:positionH>
          <wp:positionV relativeFrom="page">
            <wp:posOffset>266065</wp:posOffset>
          </wp:positionV>
          <wp:extent cx="8230870" cy="1195070"/>
          <wp:effectExtent l="0" t="0" r="0" b="0"/>
          <wp:wrapNone/>
          <wp:docPr id="8" name="Picture 3" descr="cir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rcl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30870" cy="11950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74AB42" w14:textId="77777777" w:rsidR="00FB2E1E" w:rsidRDefault="00FB2E1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0E5E5" w14:textId="77777777" w:rsidR="000A5AB0" w:rsidRDefault="000A5AB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F5C9C8" w14:textId="4C76C866" w:rsidR="000A5AB0" w:rsidRPr="00D3760D" w:rsidRDefault="000A5AB0" w:rsidP="00E35BCB">
    <w:pPr>
      <w:pStyle w:val="Header"/>
    </w:pPr>
    <w:r w:rsidRPr="00C279FC">
      <w:rPr>
        <w:i/>
        <w:sz w:val="22"/>
        <w:lang w:val="en-AU" w:eastAsia="en-AU"/>
      </w:rPr>
      <mc:AlternateContent>
        <mc:Choice Requires="wps">
          <w:drawing>
            <wp:anchor distT="0" distB="0" distL="114300" distR="114300" simplePos="0" relativeHeight="251657728" behindDoc="1" locked="0" layoutInCell="1" allowOverlap="1" wp14:anchorId="6876A30B" wp14:editId="2A59DA6D">
              <wp:simplePos x="0" y="0"/>
              <wp:positionH relativeFrom="column">
                <wp:posOffset>-1332230</wp:posOffset>
              </wp:positionH>
              <wp:positionV relativeFrom="page">
                <wp:posOffset>252730</wp:posOffset>
              </wp:positionV>
              <wp:extent cx="1106170" cy="1106170"/>
              <wp:effectExtent l="10795" t="14605" r="16510" b="12700"/>
              <wp:wrapNone/>
              <wp:docPr id="4"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06170" cy="1106170"/>
                      </a:xfrm>
                      <a:prstGeom prst="ellipse">
                        <a:avLst/>
                      </a:prstGeom>
                      <a:noFill/>
                      <a:ln w="19050">
                        <a:solidFill>
                          <a:srgbClr val="5C7F92">
                            <a:alpha val="50000"/>
                          </a:srgbClr>
                        </a:solidFill>
                        <a:round/>
                        <a:headEnd/>
                        <a:tailEnd/>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C22E156" id="Oval 7" o:spid="_x0000_s1026" style="position:absolute;margin-left:-104.9pt;margin-top:19.9pt;width:87.1pt;height:87.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" filled="f" fillcolor="#9bc1ff" strokecolor="#5c7f92" strokeweight="1.5pt">
              <v:fill color2="#3f80cd" focus="100%" type="gradient">
                <o:fill v:ext="view" type="gradientUnscaled"/>
              </v:fill>
              <v:stroke opacity="32896f"/>
              <v:shadow opacity="22938f" offset="0"/>
              <v:textbox inset=",7.2pt,,7.2pt"/>
              <w10:wrap anchory="page"/>
            </v:oval>
          </w:pict>
        </mc:Fallback>
      </mc:AlternateContent>
    </w:r>
    <w:r w:rsidR="009B1C8D">
      <w:rPr>
        <w:i/>
        <w:sz w:val="22"/>
      </w:rPr>
      <w:t xml:space="preserve">FACT SHEET 1 – </w:t>
    </w:r>
    <w:r w:rsidR="00E91226">
      <w:rPr>
        <w:i/>
        <w:sz w:val="22"/>
      </w:rPr>
      <w:t>m</w:t>
    </w:r>
    <w:r w:rsidR="0064618F">
      <w:rPr>
        <w:i/>
        <w:sz w:val="22"/>
      </w:rPr>
      <w:t xml:space="preserve">ajor </w:t>
    </w:r>
    <w:r w:rsidR="00FB2E1E">
      <w:rPr>
        <w:i/>
        <w:sz w:val="22"/>
      </w:rPr>
      <w:t>projects assessment reform:</w:t>
    </w:r>
    <w:r w:rsidR="00E91226">
      <w:rPr>
        <w:i/>
        <w:sz w:val="22"/>
      </w:rPr>
      <w:t xml:space="preserve"> an overview</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BB35E" w14:textId="77777777" w:rsidR="000A5AB0" w:rsidRDefault="000A5A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46244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A70D6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0023FF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D8BE9D2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C5A83FE6"/>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0D4C996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EB4548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86E9DF8"/>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8B5495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926E9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94FAE18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05168A"/>
    <w:multiLevelType w:val="multilevel"/>
    <w:tmpl w:val="65F8762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E2E1BE7"/>
    <w:multiLevelType w:val="hybridMultilevel"/>
    <w:tmpl w:val="525611B8"/>
    <w:lvl w:ilvl="0" w:tplc="0C09000B">
      <w:start w:val="1"/>
      <w:numFmt w:val="bullet"/>
      <w:lvlText w:val=""/>
      <w:lvlJc w:val="left"/>
      <w:pPr>
        <w:ind w:left="2700" w:hanging="360"/>
      </w:pPr>
      <w:rPr>
        <w:rFonts w:ascii="Wingdings" w:hAnsi="Wingdings" w:hint="default"/>
      </w:rPr>
    </w:lvl>
    <w:lvl w:ilvl="1" w:tplc="0C090019">
      <w:start w:val="1"/>
      <w:numFmt w:val="lowerLetter"/>
      <w:lvlText w:val="%2."/>
      <w:lvlJc w:val="left"/>
      <w:pPr>
        <w:ind w:left="3420" w:hanging="360"/>
      </w:pPr>
    </w:lvl>
    <w:lvl w:ilvl="2" w:tplc="0C09001B">
      <w:start w:val="1"/>
      <w:numFmt w:val="lowerRoman"/>
      <w:lvlText w:val="%3."/>
      <w:lvlJc w:val="right"/>
      <w:pPr>
        <w:ind w:left="4140" w:hanging="180"/>
      </w:pPr>
    </w:lvl>
    <w:lvl w:ilvl="3" w:tplc="0C09000F">
      <w:start w:val="1"/>
      <w:numFmt w:val="decimal"/>
      <w:lvlText w:val="%4."/>
      <w:lvlJc w:val="left"/>
      <w:pPr>
        <w:ind w:left="4860" w:hanging="360"/>
      </w:pPr>
    </w:lvl>
    <w:lvl w:ilvl="4" w:tplc="0C090019">
      <w:start w:val="1"/>
      <w:numFmt w:val="lowerLetter"/>
      <w:lvlText w:val="%5."/>
      <w:lvlJc w:val="left"/>
      <w:pPr>
        <w:ind w:left="5580" w:hanging="360"/>
      </w:pPr>
    </w:lvl>
    <w:lvl w:ilvl="5" w:tplc="0C09001B">
      <w:start w:val="1"/>
      <w:numFmt w:val="lowerRoman"/>
      <w:lvlText w:val="%6."/>
      <w:lvlJc w:val="right"/>
      <w:pPr>
        <w:ind w:left="6300" w:hanging="180"/>
      </w:pPr>
    </w:lvl>
    <w:lvl w:ilvl="6" w:tplc="0C09000F">
      <w:start w:val="1"/>
      <w:numFmt w:val="decimal"/>
      <w:lvlText w:val="%7."/>
      <w:lvlJc w:val="left"/>
      <w:pPr>
        <w:ind w:left="7020" w:hanging="360"/>
      </w:pPr>
    </w:lvl>
    <w:lvl w:ilvl="7" w:tplc="0C090019">
      <w:start w:val="1"/>
      <w:numFmt w:val="lowerLetter"/>
      <w:lvlText w:val="%8."/>
      <w:lvlJc w:val="left"/>
      <w:pPr>
        <w:ind w:left="7740" w:hanging="360"/>
      </w:pPr>
    </w:lvl>
    <w:lvl w:ilvl="8" w:tplc="0C09001B">
      <w:start w:val="1"/>
      <w:numFmt w:val="lowerRoman"/>
      <w:lvlText w:val="%9."/>
      <w:lvlJc w:val="right"/>
      <w:pPr>
        <w:ind w:left="8460" w:hanging="180"/>
      </w:pPr>
    </w:lvl>
  </w:abstractNum>
  <w:abstractNum w:abstractNumId="13" w15:restartNumberingAfterBreak="0">
    <w:nsid w:val="144C6824"/>
    <w:multiLevelType w:val="multilevel"/>
    <w:tmpl w:val="FB905A52"/>
    <w:lvl w:ilvl="0">
      <w:start w:val="1"/>
      <w:numFmt w:val="bullet"/>
      <w:lvlText w:val=""/>
      <w:lvlJc w:val="left"/>
      <w:pPr>
        <w:ind w:left="1418" w:hanging="284"/>
      </w:pPr>
      <w:rPr>
        <w:rFonts w:ascii="Arial Black" w:hAnsi="Arial Black" w:hint="default"/>
        <w:b/>
        <w:i w:val="0"/>
        <w:color w:val="DF9E33"/>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4F65803"/>
    <w:multiLevelType w:val="hybridMultilevel"/>
    <w:tmpl w:val="777A1AE4"/>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1DA56C28"/>
    <w:multiLevelType w:val="hybridMultilevel"/>
    <w:tmpl w:val="F8BC033E"/>
    <w:lvl w:ilvl="0" w:tplc="C7BE4696">
      <w:start w:val="1"/>
      <w:numFmt w:val="bullet"/>
      <w:lvlText w:val=""/>
      <w:lvlJc w:val="left"/>
      <w:pPr>
        <w:tabs>
          <w:tab w:val="num" w:pos="720"/>
        </w:tabs>
        <w:ind w:left="720" w:hanging="360"/>
      </w:pPr>
      <w:rPr>
        <w:rFonts w:ascii="Wingdings 3" w:hAnsi="Wingdings 3" w:hint="default"/>
      </w:rPr>
    </w:lvl>
    <w:lvl w:ilvl="1" w:tplc="6A5CBBFA" w:tentative="1">
      <w:start w:val="1"/>
      <w:numFmt w:val="bullet"/>
      <w:lvlText w:val=""/>
      <w:lvlJc w:val="left"/>
      <w:pPr>
        <w:tabs>
          <w:tab w:val="num" w:pos="1440"/>
        </w:tabs>
        <w:ind w:left="1440" w:hanging="360"/>
      </w:pPr>
      <w:rPr>
        <w:rFonts w:ascii="Wingdings 3" w:hAnsi="Wingdings 3" w:hint="default"/>
      </w:rPr>
    </w:lvl>
    <w:lvl w:ilvl="2" w:tplc="1FE4F06C" w:tentative="1">
      <w:start w:val="1"/>
      <w:numFmt w:val="bullet"/>
      <w:lvlText w:val=""/>
      <w:lvlJc w:val="left"/>
      <w:pPr>
        <w:tabs>
          <w:tab w:val="num" w:pos="2160"/>
        </w:tabs>
        <w:ind w:left="2160" w:hanging="360"/>
      </w:pPr>
      <w:rPr>
        <w:rFonts w:ascii="Wingdings 3" w:hAnsi="Wingdings 3" w:hint="default"/>
      </w:rPr>
    </w:lvl>
    <w:lvl w:ilvl="3" w:tplc="F58C9030" w:tentative="1">
      <w:start w:val="1"/>
      <w:numFmt w:val="bullet"/>
      <w:lvlText w:val=""/>
      <w:lvlJc w:val="left"/>
      <w:pPr>
        <w:tabs>
          <w:tab w:val="num" w:pos="2880"/>
        </w:tabs>
        <w:ind w:left="2880" w:hanging="360"/>
      </w:pPr>
      <w:rPr>
        <w:rFonts w:ascii="Wingdings 3" w:hAnsi="Wingdings 3" w:hint="default"/>
      </w:rPr>
    </w:lvl>
    <w:lvl w:ilvl="4" w:tplc="29865B78" w:tentative="1">
      <w:start w:val="1"/>
      <w:numFmt w:val="bullet"/>
      <w:lvlText w:val=""/>
      <w:lvlJc w:val="left"/>
      <w:pPr>
        <w:tabs>
          <w:tab w:val="num" w:pos="3600"/>
        </w:tabs>
        <w:ind w:left="3600" w:hanging="360"/>
      </w:pPr>
      <w:rPr>
        <w:rFonts w:ascii="Wingdings 3" w:hAnsi="Wingdings 3" w:hint="default"/>
      </w:rPr>
    </w:lvl>
    <w:lvl w:ilvl="5" w:tplc="6F5ED2CE" w:tentative="1">
      <w:start w:val="1"/>
      <w:numFmt w:val="bullet"/>
      <w:lvlText w:val=""/>
      <w:lvlJc w:val="left"/>
      <w:pPr>
        <w:tabs>
          <w:tab w:val="num" w:pos="4320"/>
        </w:tabs>
        <w:ind w:left="4320" w:hanging="360"/>
      </w:pPr>
      <w:rPr>
        <w:rFonts w:ascii="Wingdings 3" w:hAnsi="Wingdings 3" w:hint="default"/>
      </w:rPr>
    </w:lvl>
    <w:lvl w:ilvl="6" w:tplc="C70A5182" w:tentative="1">
      <w:start w:val="1"/>
      <w:numFmt w:val="bullet"/>
      <w:lvlText w:val=""/>
      <w:lvlJc w:val="left"/>
      <w:pPr>
        <w:tabs>
          <w:tab w:val="num" w:pos="5040"/>
        </w:tabs>
        <w:ind w:left="5040" w:hanging="360"/>
      </w:pPr>
      <w:rPr>
        <w:rFonts w:ascii="Wingdings 3" w:hAnsi="Wingdings 3" w:hint="default"/>
      </w:rPr>
    </w:lvl>
    <w:lvl w:ilvl="7" w:tplc="50D2FAB6" w:tentative="1">
      <w:start w:val="1"/>
      <w:numFmt w:val="bullet"/>
      <w:lvlText w:val=""/>
      <w:lvlJc w:val="left"/>
      <w:pPr>
        <w:tabs>
          <w:tab w:val="num" w:pos="5760"/>
        </w:tabs>
        <w:ind w:left="5760" w:hanging="360"/>
      </w:pPr>
      <w:rPr>
        <w:rFonts w:ascii="Wingdings 3" w:hAnsi="Wingdings 3" w:hint="default"/>
      </w:rPr>
    </w:lvl>
    <w:lvl w:ilvl="8" w:tplc="CCA6A43C" w:tentative="1">
      <w:start w:val="1"/>
      <w:numFmt w:val="bullet"/>
      <w:lvlText w:val=""/>
      <w:lvlJc w:val="left"/>
      <w:pPr>
        <w:tabs>
          <w:tab w:val="num" w:pos="6480"/>
        </w:tabs>
        <w:ind w:left="6480" w:hanging="360"/>
      </w:pPr>
      <w:rPr>
        <w:rFonts w:ascii="Wingdings 3" w:hAnsi="Wingdings 3" w:hint="default"/>
      </w:rPr>
    </w:lvl>
  </w:abstractNum>
  <w:abstractNum w:abstractNumId="16" w15:restartNumberingAfterBreak="0">
    <w:nsid w:val="1EC6407B"/>
    <w:multiLevelType w:val="hybridMultilevel"/>
    <w:tmpl w:val="A44EE030"/>
    <w:lvl w:ilvl="0" w:tplc="C800627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24F87E4D"/>
    <w:multiLevelType w:val="hybridMultilevel"/>
    <w:tmpl w:val="40C2D8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52E135F"/>
    <w:multiLevelType w:val="hybridMultilevel"/>
    <w:tmpl w:val="E28E25C4"/>
    <w:lvl w:ilvl="0" w:tplc="2B7C8CC2">
      <w:start w:val="1"/>
      <w:numFmt w:val="bullet"/>
      <w:pStyle w:val="Bullets"/>
      <w:lvlText w:val=""/>
      <w:lvlJc w:val="left"/>
      <w:pPr>
        <w:ind w:left="1418" w:hanging="284"/>
      </w:pPr>
      <w:rPr>
        <w:rFonts w:ascii="Arial Black" w:hAnsi="Arial Black" w:hint="default"/>
        <w:b/>
        <w:i w:val="0"/>
        <w:color w:val="94A545"/>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A52575"/>
    <w:multiLevelType w:val="multilevel"/>
    <w:tmpl w:val="05D2BC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ABB75C2"/>
    <w:multiLevelType w:val="hybridMultilevel"/>
    <w:tmpl w:val="EEDAB7B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30FB3D39"/>
    <w:multiLevelType w:val="hybridMultilevel"/>
    <w:tmpl w:val="F8BA86E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4F105B9"/>
    <w:multiLevelType w:val="hybridMultilevel"/>
    <w:tmpl w:val="75C204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54B162F"/>
    <w:multiLevelType w:val="multilevel"/>
    <w:tmpl w:val="44F28D6A"/>
    <w:lvl w:ilvl="0">
      <w:start w:val="1"/>
      <w:numFmt w:val="bullet"/>
      <w:lvlText w:val=""/>
      <w:lvlJc w:val="left"/>
      <w:pPr>
        <w:ind w:left="1418" w:hanging="284"/>
      </w:pPr>
      <w:rPr>
        <w:rFonts w:ascii="Arial Black" w:hAnsi="Arial Black" w:hint="default"/>
        <w:b/>
        <w:i w:val="0"/>
        <w:color w:val="94A545"/>
        <w:sz w:val="2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8511524"/>
    <w:multiLevelType w:val="hybridMultilevel"/>
    <w:tmpl w:val="51744CEC"/>
    <w:lvl w:ilvl="0" w:tplc="849CFE54">
      <w:start w:val="1"/>
      <w:numFmt w:val="bullet"/>
      <w:lvlText w:val=""/>
      <w:lvlJc w:val="left"/>
      <w:pPr>
        <w:ind w:left="1418" w:hanging="284"/>
      </w:pPr>
      <w:rPr>
        <w:rFonts w:ascii="Arial Black" w:hAnsi="Arial Black" w:hint="default"/>
        <w:b/>
        <w:i w:val="0"/>
        <w:color w:val="DF9E33"/>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635B60"/>
    <w:multiLevelType w:val="hybridMultilevel"/>
    <w:tmpl w:val="74F6A18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9CE03BA"/>
    <w:multiLevelType w:val="hybridMultilevel"/>
    <w:tmpl w:val="444450FC"/>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CE16B80"/>
    <w:multiLevelType w:val="hybridMultilevel"/>
    <w:tmpl w:val="D66C79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8" w15:restartNumberingAfterBreak="0">
    <w:nsid w:val="652453AA"/>
    <w:multiLevelType w:val="hybridMultilevel"/>
    <w:tmpl w:val="AEA6B3F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6A046564"/>
    <w:multiLevelType w:val="hybridMultilevel"/>
    <w:tmpl w:val="6406CAEA"/>
    <w:lvl w:ilvl="0" w:tplc="0C090017">
      <w:start w:val="1"/>
      <w:numFmt w:val="lowerLetter"/>
      <w:lvlText w:val="%1)"/>
      <w:lvlJc w:val="left"/>
      <w:pPr>
        <w:ind w:left="720" w:hanging="360"/>
      </w:pPr>
      <w:rPr>
        <w:rFonts w:cs="Times New Roman"/>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0" w15:restartNumberingAfterBreak="0">
    <w:nsid w:val="701C35D2"/>
    <w:multiLevelType w:val="hybridMultilevel"/>
    <w:tmpl w:val="AB3EDC92"/>
    <w:lvl w:ilvl="0" w:tplc="511E85F0">
      <w:numFmt w:val="bullet"/>
      <w:lvlText w:val="-"/>
      <w:lvlJc w:val="left"/>
      <w:pPr>
        <w:ind w:left="720" w:hanging="360"/>
      </w:pPr>
      <w:rPr>
        <w:rFonts w:ascii="Gill Sans MT" w:eastAsia="Calibri" w:hAnsi="Gill Sans MT"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2FC10E3"/>
    <w:multiLevelType w:val="hybridMultilevel"/>
    <w:tmpl w:val="6142B322"/>
    <w:lvl w:ilvl="0" w:tplc="B4A822AE">
      <w:start w:val="1"/>
      <w:numFmt w:val="decimal"/>
      <w:pStyle w:val="Numberedlist"/>
      <w:lvlText w:val="%1."/>
      <w:lvlJc w:val="left"/>
      <w:pPr>
        <w:ind w:left="1494" w:hanging="360"/>
      </w:pPr>
      <w:rPr>
        <w:rFonts w:ascii="Gill Sans Light" w:hAnsi="Gill Sans Light" w:hint="default"/>
        <w:b w:val="0"/>
        <w:i w:val="0"/>
        <w:color w:val="94A545"/>
        <w:sz w:val="22"/>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88780C"/>
    <w:multiLevelType w:val="hybridMultilevel"/>
    <w:tmpl w:val="50BCBA58"/>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3" w15:restartNumberingAfterBreak="0">
    <w:nsid w:val="7AFD09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9"/>
  </w:num>
  <w:num w:numId="2">
    <w:abstractNumId w:val="11"/>
  </w:num>
  <w:num w:numId="3">
    <w:abstractNumId w:val="11"/>
  </w:num>
  <w:num w:numId="4">
    <w:abstractNumId w:val="24"/>
  </w:num>
  <w:num w:numId="5">
    <w:abstractNumId w:val="10"/>
  </w:num>
  <w:num w:numId="6">
    <w:abstractNumId w:val="8"/>
  </w:num>
  <w:num w:numId="7">
    <w:abstractNumId w:val="7"/>
  </w:num>
  <w:num w:numId="8">
    <w:abstractNumId w:val="6"/>
  </w:num>
  <w:num w:numId="9">
    <w:abstractNumId w:val="5"/>
  </w:num>
  <w:num w:numId="10">
    <w:abstractNumId w:val="9"/>
  </w:num>
  <w:num w:numId="11">
    <w:abstractNumId w:val="4"/>
  </w:num>
  <w:num w:numId="12">
    <w:abstractNumId w:val="3"/>
  </w:num>
  <w:num w:numId="13">
    <w:abstractNumId w:val="2"/>
  </w:num>
  <w:num w:numId="14">
    <w:abstractNumId w:val="1"/>
  </w:num>
  <w:num w:numId="15">
    <w:abstractNumId w:val="0"/>
  </w:num>
  <w:num w:numId="16">
    <w:abstractNumId w:val="13"/>
  </w:num>
  <w:num w:numId="17">
    <w:abstractNumId w:val="31"/>
  </w:num>
  <w:num w:numId="18">
    <w:abstractNumId w:val="14"/>
  </w:num>
  <w:num w:numId="19">
    <w:abstractNumId w:val="23"/>
  </w:num>
  <w:num w:numId="20">
    <w:abstractNumId w:val="33"/>
  </w:num>
  <w:num w:numId="21">
    <w:abstractNumId w:val="18"/>
  </w:num>
  <w:num w:numId="22">
    <w:abstractNumId w:val="31"/>
    <w:lvlOverride w:ilvl="0">
      <w:startOverride w:val="1"/>
    </w:lvlOverride>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num>
  <w:num w:numId="27">
    <w:abstractNumId w:val="20"/>
  </w:num>
  <w:num w:numId="28">
    <w:abstractNumId w:val="12"/>
  </w:num>
  <w:num w:numId="29">
    <w:abstractNumId w:val="29"/>
  </w:num>
  <w:num w:numId="30">
    <w:abstractNumId w:val="26"/>
  </w:num>
  <w:num w:numId="31">
    <w:abstractNumId w:val="15"/>
  </w:num>
  <w:num w:numId="32">
    <w:abstractNumId w:val="25"/>
  </w:num>
  <w:num w:numId="33">
    <w:abstractNumId w:val="17"/>
  </w:num>
  <w:num w:numId="34">
    <w:abstractNumId w:val="22"/>
  </w:num>
  <w:num w:numId="35">
    <w:abstractNumId w:val="28"/>
  </w:num>
  <w:num w:numId="36">
    <w:abstractNumId w:val="21"/>
  </w:num>
  <w:num w:numId="37">
    <w:abstractNumId w:val="16"/>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5c7f9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34C9"/>
    <w:rsid w:val="000048D4"/>
    <w:rsid w:val="0001078A"/>
    <w:rsid w:val="000153E2"/>
    <w:rsid w:val="000172FA"/>
    <w:rsid w:val="000234C9"/>
    <w:rsid w:val="00030200"/>
    <w:rsid w:val="00030EED"/>
    <w:rsid w:val="0003333E"/>
    <w:rsid w:val="00037154"/>
    <w:rsid w:val="0004148F"/>
    <w:rsid w:val="00045D56"/>
    <w:rsid w:val="00046514"/>
    <w:rsid w:val="00046D02"/>
    <w:rsid w:val="00053079"/>
    <w:rsid w:val="00063304"/>
    <w:rsid w:val="00063D60"/>
    <w:rsid w:val="00071655"/>
    <w:rsid w:val="00074280"/>
    <w:rsid w:val="00076EB4"/>
    <w:rsid w:val="000777AF"/>
    <w:rsid w:val="00082E8D"/>
    <w:rsid w:val="00083861"/>
    <w:rsid w:val="00083A63"/>
    <w:rsid w:val="00083F57"/>
    <w:rsid w:val="00090E83"/>
    <w:rsid w:val="00094C1B"/>
    <w:rsid w:val="000A5AB0"/>
    <w:rsid w:val="000C0105"/>
    <w:rsid w:val="000C3544"/>
    <w:rsid w:val="000D2821"/>
    <w:rsid w:val="000D28E0"/>
    <w:rsid w:val="000E0A75"/>
    <w:rsid w:val="000E3603"/>
    <w:rsid w:val="000E3F87"/>
    <w:rsid w:val="000F047B"/>
    <w:rsid w:val="000F55A1"/>
    <w:rsid w:val="001004A9"/>
    <w:rsid w:val="001034AC"/>
    <w:rsid w:val="0010544F"/>
    <w:rsid w:val="00121B2D"/>
    <w:rsid w:val="0013034E"/>
    <w:rsid w:val="00136234"/>
    <w:rsid w:val="0013742D"/>
    <w:rsid w:val="00140099"/>
    <w:rsid w:val="00140D46"/>
    <w:rsid w:val="00141E3D"/>
    <w:rsid w:val="00155EFC"/>
    <w:rsid w:val="001710E9"/>
    <w:rsid w:val="001743E6"/>
    <w:rsid w:val="00174D7E"/>
    <w:rsid w:val="00175D4D"/>
    <w:rsid w:val="00176076"/>
    <w:rsid w:val="00181AB6"/>
    <w:rsid w:val="00185CEC"/>
    <w:rsid w:val="00187A51"/>
    <w:rsid w:val="00194E89"/>
    <w:rsid w:val="001A65D6"/>
    <w:rsid w:val="001B0AA0"/>
    <w:rsid w:val="001B73D0"/>
    <w:rsid w:val="001C4C8B"/>
    <w:rsid w:val="001C57D6"/>
    <w:rsid w:val="001D1800"/>
    <w:rsid w:val="001D3B13"/>
    <w:rsid w:val="001D4ECA"/>
    <w:rsid w:val="001E655D"/>
    <w:rsid w:val="001E71CA"/>
    <w:rsid w:val="0020117E"/>
    <w:rsid w:val="00205005"/>
    <w:rsid w:val="00206EF0"/>
    <w:rsid w:val="00212EE7"/>
    <w:rsid w:val="00214367"/>
    <w:rsid w:val="00217EB3"/>
    <w:rsid w:val="002249D1"/>
    <w:rsid w:val="00231418"/>
    <w:rsid w:val="002325F1"/>
    <w:rsid w:val="00232ADC"/>
    <w:rsid w:val="00236222"/>
    <w:rsid w:val="00242AFD"/>
    <w:rsid w:val="00244739"/>
    <w:rsid w:val="00245B6E"/>
    <w:rsid w:val="00251AF0"/>
    <w:rsid w:val="0025531E"/>
    <w:rsid w:val="00262701"/>
    <w:rsid w:val="00264F50"/>
    <w:rsid w:val="002674D5"/>
    <w:rsid w:val="00270E65"/>
    <w:rsid w:val="002833F9"/>
    <w:rsid w:val="0029059D"/>
    <w:rsid w:val="0029278F"/>
    <w:rsid w:val="00296961"/>
    <w:rsid w:val="002970F7"/>
    <w:rsid w:val="002B6D13"/>
    <w:rsid w:val="002C0871"/>
    <w:rsid w:val="002C5CE1"/>
    <w:rsid w:val="002D17EB"/>
    <w:rsid w:val="002D3D0E"/>
    <w:rsid w:val="002E3AB6"/>
    <w:rsid w:val="002F3A08"/>
    <w:rsid w:val="002F5CDD"/>
    <w:rsid w:val="00300F38"/>
    <w:rsid w:val="00302252"/>
    <w:rsid w:val="00317254"/>
    <w:rsid w:val="00321E42"/>
    <w:rsid w:val="003301BF"/>
    <w:rsid w:val="00334D89"/>
    <w:rsid w:val="00362606"/>
    <w:rsid w:val="00362A08"/>
    <w:rsid w:val="00363F51"/>
    <w:rsid w:val="00381AC8"/>
    <w:rsid w:val="003979E4"/>
    <w:rsid w:val="003A32A4"/>
    <w:rsid w:val="003A5F73"/>
    <w:rsid w:val="003A6AE5"/>
    <w:rsid w:val="003B64C0"/>
    <w:rsid w:val="003C1BBA"/>
    <w:rsid w:val="003C7966"/>
    <w:rsid w:val="003D1586"/>
    <w:rsid w:val="003E102A"/>
    <w:rsid w:val="003E3747"/>
    <w:rsid w:val="003E40A0"/>
    <w:rsid w:val="003F1ED6"/>
    <w:rsid w:val="003F26EB"/>
    <w:rsid w:val="00400367"/>
    <w:rsid w:val="00403900"/>
    <w:rsid w:val="004047FE"/>
    <w:rsid w:val="00406AA8"/>
    <w:rsid w:val="00412328"/>
    <w:rsid w:val="004236F7"/>
    <w:rsid w:val="00425C13"/>
    <w:rsid w:val="004403A7"/>
    <w:rsid w:val="00440FEA"/>
    <w:rsid w:val="00443BDF"/>
    <w:rsid w:val="00451D8E"/>
    <w:rsid w:val="0045330D"/>
    <w:rsid w:val="00463698"/>
    <w:rsid w:val="0047687A"/>
    <w:rsid w:val="004842B9"/>
    <w:rsid w:val="004931EC"/>
    <w:rsid w:val="00496BFC"/>
    <w:rsid w:val="004B05EE"/>
    <w:rsid w:val="004B3950"/>
    <w:rsid w:val="004B3D99"/>
    <w:rsid w:val="004B6E48"/>
    <w:rsid w:val="004C3C9C"/>
    <w:rsid w:val="004C7AB2"/>
    <w:rsid w:val="004D21CF"/>
    <w:rsid w:val="004D60A9"/>
    <w:rsid w:val="004E37C0"/>
    <w:rsid w:val="004E742A"/>
    <w:rsid w:val="00520DA5"/>
    <w:rsid w:val="005224BB"/>
    <w:rsid w:val="00523A3A"/>
    <w:rsid w:val="00530355"/>
    <w:rsid w:val="00541AB4"/>
    <w:rsid w:val="00544BEB"/>
    <w:rsid w:val="005535E8"/>
    <w:rsid w:val="00556D33"/>
    <w:rsid w:val="00557686"/>
    <w:rsid w:val="00557C2A"/>
    <w:rsid w:val="00564F3C"/>
    <w:rsid w:val="00565935"/>
    <w:rsid w:val="00571E1E"/>
    <w:rsid w:val="005759AA"/>
    <w:rsid w:val="0057666D"/>
    <w:rsid w:val="00576C6A"/>
    <w:rsid w:val="00590C05"/>
    <w:rsid w:val="00592588"/>
    <w:rsid w:val="005927F1"/>
    <w:rsid w:val="005946CF"/>
    <w:rsid w:val="005A2317"/>
    <w:rsid w:val="005A3A00"/>
    <w:rsid w:val="005A6A30"/>
    <w:rsid w:val="005B5906"/>
    <w:rsid w:val="005B672A"/>
    <w:rsid w:val="005B7366"/>
    <w:rsid w:val="005C2245"/>
    <w:rsid w:val="005C7706"/>
    <w:rsid w:val="005D2C08"/>
    <w:rsid w:val="005D7A05"/>
    <w:rsid w:val="005E4304"/>
    <w:rsid w:val="005E510E"/>
    <w:rsid w:val="005F1BBF"/>
    <w:rsid w:val="005F77CD"/>
    <w:rsid w:val="0060488C"/>
    <w:rsid w:val="00605588"/>
    <w:rsid w:val="00632128"/>
    <w:rsid w:val="00636C3D"/>
    <w:rsid w:val="00640506"/>
    <w:rsid w:val="00640E26"/>
    <w:rsid w:val="00642F24"/>
    <w:rsid w:val="0064618F"/>
    <w:rsid w:val="00647123"/>
    <w:rsid w:val="00652653"/>
    <w:rsid w:val="00656783"/>
    <w:rsid w:val="0066061E"/>
    <w:rsid w:val="006626FA"/>
    <w:rsid w:val="006927CC"/>
    <w:rsid w:val="006A2D8C"/>
    <w:rsid w:val="006B5F24"/>
    <w:rsid w:val="006C1C5F"/>
    <w:rsid w:val="006C210A"/>
    <w:rsid w:val="006D0404"/>
    <w:rsid w:val="006D05A5"/>
    <w:rsid w:val="006D5303"/>
    <w:rsid w:val="006E2800"/>
    <w:rsid w:val="006E4FA6"/>
    <w:rsid w:val="006F044A"/>
    <w:rsid w:val="006F3B76"/>
    <w:rsid w:val="006F4215"/>
    <w:rsid w:val="00707B63"/>
    <w:rsid w:val="007126C7"/>
    <w:rsid w:val="007155E6"/>
    <w:rsid w:val="00720011"/>
    <w:rsid w:val="00721A53"/>
    <w:rsid w:val="0072625D"/>
    <w:rsid w:val="00733D5E"/>
    <w:rsid w:val="00736310"/>
    <w:rsid w:val="007427BF"/>
    <w:rsid w:val="00754AE8"/>
    <w:rsid w:val="0075566A"/>
    <w:rsid w:val="007638DC"/>
    <w:rsid w:val="00773CF6"/>
    <w:rsid w:val="007750F8"/>
    <w:rsid w:val="00776F01"/>
    <w:rsid w:val="007819DF"/>
    <w:rsid w:val="007869B3"/>
    <w:rsid w:val="007912D8"/>
    <w:rsid w:val="007915BD"/>
    <w:rsid w:val="007954E3"/>
    <w:rsid w:val="007A5AA4"/>
    <w:rsid w:val="007B261C"/>
    <w:rsid w:val="007B7146"/>
    <w:rsid w:val="007C2BF3"/>
    <w:rsid w:val="007D29D6"/>
    <w:rsid w:val="007D6FD3"/>
    <w:rsid w:val="007E4787"/>
    <w:rsid w:val="007F2158"/>
    <w:rsid w:val="007F4344"/>
    <w:rsid w:val="00801B10"/>
    <w:rsid w:val="00801E2C"/>
    <w:rsid w:val="00806FC7"/>
    <w:rsid w:val="00816AB2"/>
    <w:rsid w:val="008231B6"/>
    <w:rsid w:val="008270B8"/>
    <w:rsid w:val="00836009"/>
    <w:rsid w:val="00844758"/>
    <w:rsid w:val="00846C4E"/>
    <w:rsid w:val="00847BB4"/>
    <w:rsid w:val="00851A51"/>
    <w:rsid w:val="00851DD2"/>
    <w:rsid w:val="008552B8"/>
    <w:rsid w:val="00856F34"/>
    <w:rsid w:val="00860537"/>
    <w:rsid w:val="00862188"/>
    <w:rsid w:val="00864548"/>
    <w:rsid w:val="00871837"/>
    <w:rsid w:val="00872249"/>
    <w:rsid w:val="00874CF3"/>
    <w:rsid w:val="0088188C"/>
    <w:rsid w:val="00887298"/>
    <w:rsid w:val="00892F63"/>
    <w:rsid w:val="00897138"/>
    <w:rsid w:val="008A0C26"/>
    <w:rsid w:val="008A3097"/>
    <w:rsid w:val="008A3C8E"/>
    <w:rsid w:val="008C2D54"/>
    <w:rsid w:val="008C3F18"/>
    <w:rsid w:val="008C6C5B"/>
    <w:rsid w:val="008E4152"/>
    <w:rsid w:val="008F1D19"/>
    <w:rsid w:val="008F57B4"/>
    <w:rsid w:val="00903304"/>
    <w:rsid w:val="00904C5F"/>
    <w:rsid w:val="009104AA"/>
    <w:rsid w:val="00917AF4"/>
    <w:rsid w:val="00924493"/>
    <w:rsid w:val="00925111"/>
    <w:rsid w:val="00942DB3"/>
    <w:rsid w:val="009432DE"/>
    <w:rsid w:val="009473D8"/>
    <w:rsid w:val="00973215"/>
    <w:rsid w:val="00974931"/>
    <w:rsid w:val="0097698A"/>
    <w:rsid w:val="009778E5"/>
    <w:rsid w:val="00977E60"/>
    <w:rsid w:val="009829D7"/>
    <w:rsid w:val="009831D2"/>
    <w:rsid w:val="00984FCB"/>
    <w:rsid w:val="00995591"/>
    <w:rsid w:val="009B195D"/>
    <w:rsid w:val="009B1C8D"/>
    <w:rsid w:val="009C1889"/>
    <w:rsid w:val="009C1DC7"/>
    <w:rsid w:val="009C294B"/>
    <w:rsid w:val="009C46B1"/>
    <w:rsid w:val="009C4E2E"/>
    <w:rsid w:val="009C6C2B"/>
    <w:rsid w:val="009D3263"/>
    <w:rsid w:val="009D6711"/>
    <w:rsid w:val="009D7A5B"/>
    <w:rsid w:val="009E4BE6"/>
    <w:rsid w:val="009F1950"/>
    <w:rsid w:val="009F602D"/>
    <w:rsid w:val="009F6746"/>
    <w:rsid w:val="00A14AA8"/>
    <w:rsid w:val="00A2279B"/>
    <w:rsid w:val="00A35BF3"/>
    <w:rsid w:val="00A4483B"/>
    <w:rsid w:val="00A45E14"/>
    <w:rsid w:val="00A52C78"/>
    <w:rsid w:val="00A5389A"/>
    <w:rsid w:val="00A67E87"/>
    <w:rsid w:val="00A70249"/>
    <w:rsid w:val="00A73096"/>
    <w:rsid w:val="00A7675E"/>
    <w:rsid w:val="00A87CA8"/>
    <w:rsid w:val="00A93914"/>
    <w:rsid w:val="00AA5517"/>
    <w:rsid w:val="00AA7266"/>
    <w:rsid w:val="00AB3848"/>
    <w:rsid w:val="00AB6ED0"/>
    <w:rsid w:val="00AC089E"/>
    <w:rsid w:val="00AC4472"/>
    <w:rsid w:val="00AC6061"/>
    <w:rsid w:val="00AD2300"/>
    <w:rsid w:val="00AD7131"/>
    <w:rsid w:val="00AE067C"/>
    <w:rsid w:val="00AE23D7"/>
    <w:rsid w:val="00AF1A72"/>
    <w:rsid w:val="00AF42FE"/>
    <w:rsid w:val="00AF5904"/>
    <w:rsid w:val="00B01A97"/>
    <w:rsid w:val="00B218F6"/>
    <w:rsid w:val="00B24B85"/>
    <w:rsid w:val="00B24F97"/>
    <w:rsid w:val="00B26A3F"/>
    <w:rsid w:val="00B510E5"/>
    <w:rsid w:val="00B51C52"/>
    <w:rsid w:val="00B546D6"/>
    <w:rsid w:val="00B65D61"/>
    <w:rsid w:val="00B67395"/>
    <w:rsid w:val="00B8182A"/>
    <w:rsid w:val="00B8282D"/>
    <w:rsid w:val="00B83C8E"/>
    <w:rsid w:val="00B868C9"/>
    <w:rsid w:val="00B87C87"/>
    <w:rsid w:val="00B93407"/>
    <w:rsid w:val="00BA45B0"/>
    <w:rsid w:val="00BC1939"/>
    <w:rsid w:val="00BC2104"/>
    <w:rsid w:val="00BC3080"/>
    <w:rsid w:val="00BC3E9C"/>
    <w:rsid w:val="00BD15F2"/>
    <w:rsid w:val="00BE2A5E"/>
    <w:rsid w:val="00BF12B5"/>
    <w:rsid w:val="00BF18E6"/>
    <w:rsid w:val="00BF37AA"/>
    <w:rsid w:val="00C0701B"/>
    <w:rsid w:val="00C0757F"/>
    <w:rsid w:val="00C079F9"/>
    <w:rsid w:val="00C10B51"/>
    <w:rsid w:val="00C1580E"/>
    <w:rsid w:val="00C159B1"/>
    <w:rsid w:val="00C279FC"/>
    <w:rsid w:val="00C50045"/>
    <w:rsid w:val="00C51E35"/>
    <w:rsid w:val="00C52BD2"/>
    <w:rsid w:val="00C52DFA"/>
    <w:rsid w:val="00C54921"/>
    <w:rsid w:val="00C61359"/>
    <w:rsid w:val="00C75ED3"/>
    <w:rsid w:val="00C76A71"/>
    <w:rsid w:val="00C8138F"/>
    <w:rsid w:val="00C84798"/>
    <w:rsid w:val="00C878F4"/>
    <w:rsid w:val="00C95E53"/>
    <w:rsid w:val="00C968BB"/>
    <w:rsid w:val="00C96C21"/>
    <w:rsid w:val="00CB5168"/>
    <w:rsid w:val="00CB58FE"/>
    <w:rsid w:val="00CB796C"/>
    <w:rsid w:val="00CC2E88"/>
    <w:rsid w:val="00CD6D3A"/>
    <w:rsid w:val="00CE2FF6"/>
    <w:rsid w:val="00CE332B"/>
    <w:rsid w:val="00CF1237"/>
    <w:rsid w:val="00CF15DF"/>
    <w:rsid w:val="00CF5FC5"/>
    <w:rsid w:val="00D03828"/>
    <w:rsid w:val="00D142C3"/>
    <w:rsid w:val="00D1543E"/>
    <w:rsid w:val="00D42B30"/>
    <w:rsid w:val="00D51302"/>
    <w:rsid w:val="00D53959"/>
    <w:rsid w:val="00D76ACF"/>
    <w:rsid w:val="00D86A7F"/>
    <w:rsid w:val="00D9312A"/>
    <w:rsid w:val="00D9363A"/>
    <w:rsid w:val="00DA1223"/>
    <w:rsid w:val="00DA330D"/>
    <w:rsid w:val="00DA3BC3"/>
    <w:rsid w:val="00DB298F"/>
    <w:rsid w:val="00DB427A"/>
    <w:rsid w:val="00DB4468"/>
    <w:rsid w:val="00DB49BD"/>
    <w:rsid w:val="00DB5CF5"/>
    <w:rsid w:val="00DC0850"/>
    <w:rsid w:val="00DC3021"/>
    <w:rsid w:val="00DD1509"/>
    <w:rsid w:val="00DD5807"/>
    <w:rsid w:val="00DE5FBB"/>
    <w:rsid w:val="00DF09C1"/>
    <w:rsid w:val="00E007C6"/>
    <w:rsid w:val="00E06800"/>
    <w:rsid w:val="00E251EF"/>
    <w:rsid w:val="00E25D6A"/>
    <w:rsid w:val="00E34527"/>
    <w:rsid w:val="00E3534D"/>
    <w:rsid w:val="00E35BCB"/>
    <w:rsid w:val="00E43E34"/>
    <w:rsid w:val="00E44EEA"/>
    <w:rsid w:val="00E47115"/>
    <w:rsid w:val="00E52677"/>
    <w:rsid w:val="00E528D9"/>
    <w:rsid w:val="00E556B5"/>
    <w:rsid w:val="00E6030D"/>
    <w:rsid w:val="00E61295"/>
    <w:rsid w:val="00E63A5F"/>
    <w:rsid w:val="00E655BD"/>
    <w:rsid w:val="00E67B84"/>
    <w:rsid w:val="00E70C20"/>
    <w:rsid w:val="00E7528E"/>
    <w:rsid w:val="00E7680F"/>
    <w:rsid w:val="00E768FB"/>
    <w:rsid w:val="00E90F00"/>
    <w:rsid w:val="00E91226"/>
    <w:rsid w:val="00E91383"/>
    <w:rsid w:val="00E942C8"/>
    <w:rsid w:val="00E969E1"/>
    <w:rsid w:val="00EA4FBF"/>
    <w:rsid w:val="00EA7EAA"/>
    <w:rsid w:val="00EB0E34"/>
    <w:rsid w:val="00EB1488"/>
    <w:rsid w:val="00EB6A43"/>
    <w:rsid w:val="00EE7AD9"/>
    <w:rsid w:val="00EF0D20"/>
    <w:rsid w:val="00EF27CF"/>
    <w:rsid w:val="00F078FC"/>
    <w:rsid w:val="00F163BE"/>
    <w:rsid w:val="00F219FD"/>
    <w:rsid w:val="00F27187"/>
    <w:rsid w:val="00F31E6A"/>
    <w:rsid w:val="00F3291F"/>
    <w:rsid w:val="00F35B48"/>
    <w:rsid w:val="00F40EF5"/>
    <w:rsid w:val="00F60BF5"/>
    <w:rsid w:val="00F61C1A"/>
    <w:rsid w:val="00F61C3B"/>
    <w:rsid w:val="00F62DEE"/>
    <w:rsid w:val="00F703CA"/>
    <w:rsid w:val="00F80464"/>
    <w:rsid w:val="00F81B61"/>
    <w:rsid w:val="00F82B60"/>
    <w:rsid w:val="00F83413"/>
    <w:rsid w:val="00F941E4"/>
    <w:rsid w:val="00F94C04"/>
    <w:rsid w:val="00FA6469"/>
    <w:rsid w:val="00FB2E1E"/>
    <w:rsid w:val="00FB66ED"/>
    <w:rsid w:val="00FC0255"/>
    <w:rsid w:val="00FC3197"/>
    <w:rsid w:val="00FC6131"/>
    <w:rsid w:val="00FD6BD7"/>
    <w:rsid w:val="00FD700B"/>
    <w:rsid w:val="00FD7481"/>
    <w:rsid w:val="00FE024B"/>
    <w:rsid w:val="00FE3EAF"/>
    <w:rsid w:val="00FF29C6"/>
    <w:rsid w:val="00FF3C17"/>
    <w:rsid w:val="00FF6CC4"/>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5c7f92"/>
    </o:shapedefaults>
    <o:shapelayout v:ext="edit">
      <o:idmap v:ext="edit" data="1"/>
    </o:shapelayout>
  </w:shapeDefaults>
  <w:decimalSymbol w:val="."/>
  <w:listSeparator w:val=","/>
  <w14:docId w14:val="069192F7"/>
  <w15:docId w15:val="{3364F742-C482-4AC4-A41F-ECBD016AF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libri" w:hAnsi="Cambria"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304"/>
    <w:pPr>
      <w:spacing w:before="240" w:after="200" w:line="276" w:lineRule="auto"/>
    </w:pPr>
    <w:rPr>
      <w:rFonts w:ascii="Gill Sans Light" w:hAnsi="Gill Sans Light"/>
      <w:sz w:val="24"/>
      <w:szCs w:val="22"/>
      <w:lang w:eastAsia="en-US"/>
    </w:rPr>
  </w:style>
  <w:style w:type="paragraph" w:styleId="Heading1">
    <w:name w:val="heading 1"/>
    <w:basedOn w:val="Heading2"/>
    <w:next w:val="Normal"/>
    <w:link w:val="Heading1Char"/>
    <w:uiPriority w:val="9"/>
    <w:qFormat/>
    <w:rsid w:val="000E3F87"/>
    <w:pPr>
      <w:spacing w:before="0"/>
      <w:outlineLvl w:val="0"/>
    </w:pPr>
    <w:rPr>
      <w:caps/>
      <w:color w:val="94A545"/>
      <w:sz w:val="44"/>
    </w:rPr>
  </w:style>
  <w:style w:type="paragraph" w:styleId="Heading2">
    <w:name w:val="heading 2"/>
    <w:basedOn w:val="Normal"/>
    <w:next w:val="Normal"/>
    <w:link w:val="Heading2Char"/>
    <w:qFormat/>
    <w:rsid w:val="00904C5F"/>
    <w:pPr>
      <w:keepNext/>
      <w:spacing w:after="0"/>
      <w:outlineLvl w:val="1"/>
    </w:pPr>
    <w:rPr>
      <w:rFonts w:ascii="Gill Sans MT" w:eastAsia="Times New Roman" w:hAnsi="Gill Sans MT"/>
      <w:bCs/>
      <w:iCs/>
      <w:color w:val="5C7F92"/>
      <w:sz w:val="32"/>
      <w:szCs w:val="28"/>
    </w:rPr>
  </w:style>
  <w:style w:type="paragraph" w:styleId="Heading3">
    <w:name w:val="heading 3"/>
    <w:basedOn w:val="Normal"/>
    <w:next w:val="Normal"/>
    <w:link w:val="Heading3Char"/>
    <w:qFormat/>
    <w:rsid w:val="005B295C"/>
    <w:pPr>
      <w:keepNext/>
      <w:spacing w:after="60"/>
      <w:outlineLvl w:val="2"/>
    </w:pPr>
    <w:rPr>
      <w:rFonts w:ascii="Gill Sans" w:eastAsia="Times New Roman" w:hAnsi="Gill Sans"/>
      <w:bCs/>
      <w:caps/>
      <w:color w:val="5C7F92"/>
      <w:szCs w:val="26"/>
    </w:rPr>
  </w:style>
  <w:style w:type="paragraph" w:styleId="Heading4">
    <w:name w:val="heading 4"/>
    <w:basedOn w:val="Normal"/>
    <w:next w:val="Normal"/>
    <w:link w:val="Heading4Char"/>
    <w:uiPriority w:val="9"/>
    <w:qFormat/>
    <w:rsid w:val="005B295C"/>
    <w:pPr>
      <w:keepNext/>
      <w:spacing w:after="60"/>
      <w:outlineLvl w:val="3"/>
    </w:pPr>
    <w:rPr>
      <w:rFonts w:ascii="Gill Sans" w:eastAsia="Times New Roman" w:hAnsi="Gill Sans"/>
      <w:bCs/>
      <w:color w:val="94A545"/>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04C5F"/>
    <w:rPr>
      <w:rFonts w:ascii="Gill Sans MT" w:eastAsia="Times New Roman" w:hAnsi="Gill Sans MT"/>
      <w:bCs/>
      <w:iCs/>
      <w:color w:val="5C7F92"/>
      <w:sz w:val="32"/>
      <w:szCs w:val="28"/>
      <w:lang w:eastAsia="en-US"/>
    </w:rPr>
  </w:style>
  <w:style w:type="character" w:customStyle="1" w:styleId="Heading1Char">
    <w:name w:val="Heading 1 Char"/>
    <w:basedOn w:val="DefaultParagraphFont"/>
    <w:link w:val="Heading1"/>
    <w:uiPriority w:val="9"/>
    <w:rsid w:val="000E3F87"/>
    <w:rPr>
      <w:rFonts w:ascii="Gill Sans MT" w:eastAsia="Times New Roman" w:hAnsi="Gill Sans MT"/>
      <w:b/>
      <w:bCs/>
      <w:iCs/>
      <w:color w:val="94A545"/>
      <w:sz w:val="44"/>
      <w:szCs w:val="28"/>
      <w:lang w:eastAsia="en-US"/>
    </w:rPr>
  </w:style>
  <w:style w:type="character" w:customStyle="1" w:styleId="Heading3Char">
    <w:name w:val="Heading 3 Char"/>
    <w:basedOn w:val="DefaultParagraphFont"/>
    <w:link w:val="Heading3"/>
    <w:rsid w:val="005B295C"/>
    <w:rPr>
      <w:rFonts w:ascii="Gill Sans" w:eastAsia="Times New Roman" w:hAnsi="Gill Sans"/>
      <w:bCs/>
      <w:caps/>
      <w:color w:val="5C7F92"/>
      <w:sz w:val="24"/>
      <w:szCs w:val="26"/>
    </w:rPr>
  </w:style>
  <w:style w:type="character" w:customStyle="1" w:styleId="Heading4Char">
    <w:name w:val="Heading 4 Char"/>
    <w:basedOn w:val="DefaultParagraphFont"/>
    <w:link w:val="Heading4"/>
    <w:uiPriority w:val="9"/>
    <w:rsid w:val="005B295C"/>
    <w:rPr>
      <w:rFonts w:ascii="Gill Sans" w:eastAsia="Times New Roman" w:hAnsi="Gill Sans" w:cs="Times New Roman"/>
      <w:bCs/>
      <w:color w:val="94A545"/>
      <w:sz w:val="24"/>
      <w:szCs w:val="28"/>
    </w:rPr>
  </w:style>
  <w:style w:type="paragraph" w:customStyle="1" w:styleId="Bullets">
    <w:name w:val="Bullets"/>
    <w:basedOn w:val="Normal"/>
    <w:qFormat/>
    <w:rsid w:val="00632379"/>
    <w:pPr>
      <w:numPr>
        <w:numId w:val="21"/>
      </w:numPr>
      <w:spacing w:before="0" w:after="240" w:line="240" w:lineRule="auto"/>
      <w:contextualSpacing/>
    </w:pPr>
  </w:style>
  <w:style w:type="paragraph" w:styleId="TOC1">
    <w:name w:val="toc 1"/>
    <w:basedOn w:val="Normal"/>
    <w:next w:val="Normal"/>
    <w:autoRedefine/>
    <w:uiPriority w:val="39"/>
    <w:semiHidden/>
    <w:unhideWhenUsed/>
    <w:rsid w:val="00CD3A1B"/>
    <w:pPr>
      <w:spacing w:after="120"/>
    </w:pPr>
    <w:rPr>
      <w:caps/>
      <w:sz w:val="32"/>
    </w:rPr>
  </w:style>
  <w:style w:type="paragraph" w:styleId="Header">
    <w:name w:val="header"/>
    <w:basedOn w:val="Normal"/>
    <w:link w:val="HeaderChar"/>
    <w:uiPriority w:val="99"/>
    <w:unhideWhenUsed/>
    <w:rsid w:val="00BE6ED9"/>
    <w:pPr>
      <w:tabs>
        <w:tab w:val="center" w:pos="4320"/>
        <w:tab w:val="right" w:pos="8640"/>
      </w:tabs>
      <w:spacing w:after="0" w:line="240" w:lineRule="auto"/>
    </w:pPr>
    <w:rPr>
      <w:rFonts w:ascii="Gill Sans" w:hAnsi="Gill Sans"/>
      <w:caps/>
      <w:noProof/>
      <w:color w:val="94A545"/>
      <w:lang w:val="en-US"/>
    </w:rPr>
  </w:style>
  <w:style w:type="character" w:customStyle="1" w:styleId="HeaderChar">
    <w:name w:val="Header Char"/>
    <w:basedOn w:val="DefaultParagraphFont"/>
    <w:link w:val="Header"/>
    <w:uiPriority w:val="99"/>
    <w:rsid w:val="00BE6ED9"/>
    <w:rPr>
      <w:rFonts w:ascii="Gill Sans" w:hAnsi="Gill Sans"/>
      <w:caps/>
      <w:noProof/>
      <w:color w:val="94A545"/>
      <w:sz w:val="22"/>
      <w:szCs w:val="22"/>
      <w:lang w:val="en-US"/>
    </w:rPr>
  </w:style>
  <w:style w:type="paragraph" w:styleId="Footer">
    <w:name w:val="footer"/>
    <w:basedOn w:val="Normal"/>
    <w:link w:val="FooterChar"/>
    <w:uiPriority w:val="99"/>
    <w:unhideWhenUsed/>
    <w:rsid w:val="008F57B4"/>
    <w:pPr>
      <w:tabs>
        <w:tab w:val="center" w:pos="4320"/>
        <w:tab w:val="right" w:pos="8640"/>
      </w:tabs>
      <w:spacing w:after="0" w:line="240" w:lineRule="auto"/>
    </w:pPr>
  </w:style>
  <w:style w:type="character" w:customStyle="1" w:styleId="FooterChar">
    <w:name w:val="Footer Char"/>
    <w:basedOn w:val="DefaultParagraphFont"/>
    <w:link w:val="Footer"/>
    <w:uiPriority w:val="99"/>
    <w:rsid w:val="008F57B4"/>
    <w:rPr>
      <w:rFonts w:ascii="Gill Sans Light" w:hAnsi="Gill Sans Light" w:cs="Times New Roman"/>
      <w:sz w:val="22"/>
      <w:szCs w:val="22"/>
      <w:lang w:val="en-AU"/>
    </w:rPr>
  </w:style>
  <w:style w:type="character" w:styleId="PageNumber">
    <w:name w:val="page number"/>
    <w:basedOn w:val="DefaultParagraphFont"/>
    <w:uiPriority w:val="99"/>
    <w:semiHidden/>
    <w:unhideWhenUsed/>
    <w:rsid w:val="00260814"/>
  </w:style>
  <w:style w:type="paragraph" w:customStyle="1" w:styleId="Numberedlist">
    <w:name w:val="Numbered list"/>
    <w:qFormat/>
    <w:rsid w:val="00632379"/>
    <w:pPr>
      <w:numPr>
        <w:numId w:val="17"/>
      </w:numPr>
      <w:spacing w:after="60"/>
    </w:pPr>
    <w:rPr>
      <w:rFonts w:ascii="Gill Sans Light" w:hAnsi="Gill Sans Light"/>
      <w:sz w:val="22"/>
      <w:szCs w:val="22"/>
      <w:lang w:eastAsia="en-US"/>
    </w:rPr>
  </w:style>
  <w:style w:type="paragraph" w:customStyle="1" w:styleId="Maincoverheader">
    <w:name w:val="Main cover header"/>
    <w:basedOn w:val="Heading1"/>
    <w:link w:val="MaincoverheaderChar"/>
    <w:autoRedefine/>
    <w:qFormat/>
    <w:rsid w:val="008A3C8E"/>
    <w:rPr>
      <w:rFonts w:ascii="GillSans" w:hAnsi="GillSans"/>
      <w:b/>
      <w:szCs w:val="44"/>
    </w:rPr>
  </w:style>
  <w:style w:type="paragraph" w:customStyle="1" w:styleId="Secondcoverheader">
    <w:name w:val="Second cover header"/>
    <w:basedOn w:val="Heading2"/>
    <w:link w:val="SecondcoverheaderChar"/>
    <w:qFormat/>
    <w:rsid w:val="00242AFD"/>
    <w:rPr>
      <w:b/>
    </w:rPr>
  </w:style>
  <w:style w:type="character" w:customStyle="1" w:styleId="MaincoverheaderChar">
    <w:name w:val="Main cover header Char"/>
    <w:basedOn w:val="Heading1Char"/>
    <w:link w:val="Maincoverheader"/>
    <w:rsid w:val="008A3C8E"/>
    <w:rPr>
      <w:rFonts w:ascii="GillSans" w:eastAsia="Times New Roman" w:hAnsi="GillSans"/>
      <w:b w:val="0"/>
      <w:bCs/>
      <w:iCs/>
      <w:color w:val="94A545"/>
      <w:sz w:val="44"/>
      <w:szCs w:val="44"/>
      <w:lang w:eastAsia="en-US"/>
    </w:rPr>
  </w:style>
  <w:style w:type="paragraph" w:customStyle="1" w:styleId="Footertext">
    <w:name w:val="Footer text"/>
    <w:basedOn w:val="Footer"/>
    <w:link w:val="FootertextChar"/>
    <w:autoRedefine/>
    <w:qFormat/>
    <w:rsid w:val="007427BF"/>
    <w:pPr>
      <w:spacing w:before="0"/>
    </w:pPr>
  </w:style>
  <w:style w:type="character" w:customStyle="1" w:styleId="SecondcoverheaderChar">
    <w:name w:val="Second cover header Char"/>
    <w:basedOn w:val="Heading2Char"/>
    <w:link w:val="Secondcoverheader"/>
    <w:rsid w:val="00242AFD"/>
    <w:rPr>
      <w:rFonts w:ascii="Gill Sans" w:eastAsia="Times New Roman" w:hAnsi="Gill Sans"/>
      <w:b w:val="0"/>
      <w:bCs/>
      <w:iCs/>
      <w:caps w:val="0"/>
      <w:color w:val="5C7F92"/>
      <w:sz w:val="32"/>
      <w:szCs w:val="28"/>
      <w:lang w:eastAsia="en-US"/>
    </w:rPr>
  </w:style>
  <w:style w:type="character" w:customStyle="1" w:styleId="FootertextChar">
    <w:name w:val="Footer text Char"/>
    <w:basedOn w:val="FooterChar"/>
    <w:link w:val="Footertext"/>
    <w:rsid w:val="007427BF"/>
    <w:rPr>
      <w:rFonts w:ascii="Gill Sans Light" w:hAnsi="Gill Sans Light" w:cs="Times New Roman"/>
      <w:sz w:val="24"/>
      <w:szCs w:val="22"/>
      <w:lang w:val="en-AU" w:eastAsia="en-US"/>
    </w:rPr>
  </w:style>
  <w:style w:type="paragraph" w:customStyle="1" w:styleId="Ahheading2">
    <w:name w:val="Ah heading 2"/>
    <w:basedOn w:val="Normal"/>
    <w:autoRedefine/>
    <w:uiPriority w:val="99"/>
    <w:rsid w:val="008C2D54"/>
    <w:pPr>
      <w:spacing w:before="0" w:after="240" w:line="240" w:lineRule="auto"/>
    </w:pPr>
    <w:rPr>
      <w:rFonts w:ascii="Arial" w:eastAsia="Times New Roman" w:hAnsi="Arial" w:cs="Arial"/>
      <w:b/>
      <w:bCs/>
      <w:sz w:val="32"/>
      <w:szCs w:val="32"/>
    </w:rPr>
  </w:style>
  <w:style w:type="paragraph" w:styleId="BodyTextIndent2">
    <w:name w:val="Body Text Indent 2"/>
    <w:basedOn w:val="Normal"/>
    <w:link w:val="BodyTextIndent2Char"/>
    <w:unhideWhenUsed/>
    <w:rsid w:val="008C2D54"/>
    <w:pPr>
      <w:tabs>
        <w:tab w:val="left" w:pos="1843"/>
      </w:tabs>
      <w:overflowPunct w:val="0"/>
      <w:autoSpaceDE w:val="0"/>
      <w:autoSpaceDN w:val="0"/>
      <w:adjustRightInd w:val="0"/>
      <w:spacing w:before="0" w:after="0" w:line="240" w:lineRule="auto"/>
      <w:ind w:left="1843" w:hanging="425"/>
      <w:jc w:val="both"/>
    </w:pPr>
    <w:rPr>
      <w:rFonts w:ascii="Times New Roman" w:eastAsia="Times New Roman" w:hAnsi="Times New Roman"/>
      <w:szCs w:val="20"/>
    </w:rPr>
  </w:style>
  <w:style w:type="character" w:customStyle="1" w:styleId="BodyTextIndent2Char">
    <w:name w:val="Body Text Indent 2 Char"/>
    <w:basedOn w:val="DefaultParagraphFont"/>
    <w:link w:val="BodyTextIndent2"/>
    <w:rsid w:val="008C2D54"/>
    <w:rPr>
      <w:rFonts w:ascii="Times New Roman" w:eastAsia="Times New Roman" w:hAnsi="Times New Roman"/>
      <w:sz w:val="24"/>
      <w:lang w:eastAsia="en-US"/>
    </w:rPr>
  </w:style>
  <w:style w:type="character" w:styleId="CommentReference">
    <w:name w:val="annotation reference"/>
    <w:basedOn w:val="DefaultParagraphFont"/>
    <w:uiPriority w:val="99"/>
    <w:semiHidden/>
    <w:unhideWhenUsed/>
    <w:rsid w:val="00973215"/>
    <w:rPr>
      <w:sz w:val="16"/>
      <w:szCs w:val="16"/>
    </w:rPr>
  </w:style>
  <w:style w:type="paragraph" w:styleId="CommentText">
    <w:name w:val="annotation text"/>
    <w:basedOn w:val="Normal"/>
    <w:link w:val="CommentTextChar"/>
    <w:uiPriority w:val="99"/>
    <w:semiHidden/>
    <w:unhideWhenUsed/>
    <w:rsid w:val="00973215"/>
    <w:pPr>
      <w:spacing w:line="240" w:lineRule="auto"/>
    </w:pPr>
    <w:rPr>
      <w:sz w:val="20"/>
      <w:szCs w:val="20"/>
    </w:rPr>
  </w:style>
  <w:style w:type="character" w:customStyle="1" w:styleId="CommentTextChar">
    <w:name w:val="Comment Text Char"/>
    <w:basedOn w:val="DefaultParagraphFont"/>
    <w:link w:val="CommentText"/>
    <w:uiPriority w:val="99"/>
    <w:semiHidden/>
    <w:rsid w:val="00973215"/>
    <w:rPr>
      <w:rFonts w:ascii="Gill Sans Light" w:hAnsi="Gill Sans Light"/>
      <w:lang w:eastAsia="en-US"/>
    </w:rPr>
  </w:style>
  <w:style w:type="paragraph" w:styleId="CommentSubject">
    <w:name w:val="annotation subject"/>
    <w:basedOn w:val="CommentText"/>
    <w:next w:val="CommentText"/>
    <w:link w:val="CommentSubjectChar"/>
    <w:uiPriority w:val="99"/>
    <w:semiHidden/>
    <w:unhideWhenUsed/>
    <w:rsid w:val="00973215"/>
    <w:rPr>
      <w:b/>
      <w:bCs/>
    </w:rPr>
  </w:style>
  <w:style w:type="character" w:customStyle="1" w:styleId="CommentSubjectChar">
    <w:name w:val="Comment Subject Char"/>
    <w:basedOn w:val="CommentTextChar"/>
    <w:link w:val="CommentSubject"/>
    <w:uiPriority w:val="99"/>
    <w:semiHidden/>
    <w:rsid w:val="00973215"/>
    <w:rPr>
      <w:rFonts w:ascii="Gill Sans Light" w:hAnsi="Gill Sans Light"/>
      <w:b/>
      <w:bCs/>
      <w:lang w:eastAsia="en-US"/>
    </w:rPr>
  </w:style>
  <w:style w:type="paragraph" w:styleId="BalloonText">
    <w:name w:val="Balloon Text"/>
    <w:basedOn w:val="Normal"/>
    <w:link w:val="BalloonTextChar"/>
    <w:uiPriority w:val="99"/>
    <w:semiHidden/>
    <w:unhideWhenUsed/>
    <w:rsid w:val="00973215"/>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3215"/>
    <w:rPr>
      <w:rFonts w:ascii="Tahoma" w:hAnsi="Tahoma" w:cs="Tahoma"/>
      <w:sz w:val="16"/>
      <w:szCs w:val="16"/>
      <w:lang w:eastAsia="en-US"/>
    </w:rPr>
  </w:style>
  <w:style w:type="paragraph" w:styleId="ListParagraph">
    <w:name w:val="List Paragraph"/>
    <w:basedOn w:val="Normal"/>
    <w:uiPriority w:val="34"/>
    <w:qFormat/>
    <w:rsid w:val="00F61C1A"/>
    <w:pPr>
      <w:ind w:left="720"/>
      <w:contextualSpacing/>
    </w:pPr>
  </w:style>
  <w:style w:type="paragraph" w:styleId="NormalWeb">
    <w:name w:val="Normal (Web)"/>
    <w:basedOn w:val="Normal"/>
    <w:uiPriority w:val="99"/>
    <w:semiHidden/>
    <w:unhideWhenUsed/>
    <w:rsid w:val="00E655BD"/>
    <w:pPr>
      <w:spacing w:before="100" w:beforeAutospacing="1" w:after="100" w:afterAutospacing="1" w:line="240" w:lineRule="auto"/>
    </w:pPr>
    <w:rPr>
      <w:rFonts w:ascii="Times New Roman" w:eastAsia="Times New Roman" w:hAnsi="Times New Roman"/>
      <w:szCs w:val="24"/>
      <w:lang w:eastAsia="en-AU"/>
    </w:rPr>
  </w:style>
  <w:style w:type="character" w:styleId="Hyperlink">
    <w:name w:val="Hyperlink"/>
    <w:basedOn w:val="DefaultParagraphFont"/>
    <w:uiPriority w:val="99"/>
    <w:unhideWhenUsed/>
    <w:rsid w:val="00E556B5"/>
    <w:rPr>
      <w:strike w:val="0"/>
      <w:dstrike w:val="0"/>
      <w:color w:val="002B99"/>
      <w:u w:val="none"/>
      <w:effect w:val="none"/>
    </w:rPr>
  </w:style>
  <w:style w:type="paragraph" w:styleId="Subtitle">
    <w:name w:val="Subtitle"/>
    <w:basedOn w:val="Normal"/>
    <w:link w:val="SubtitleChar"/>
    <w:qFormat/>
    <w:rsid w:val="00D142C3"/>
    <w:pPr>
      <w:spacing w:before="0" w:after="0" w:line="240" w:lineRule="auto"/>
      <w:jc w:val="center"/>
    </w:pPr>
    <w:rPr>
      <w:rFonts w:ascii="Arial" w:eastAsia="Times New Roman" w:hAnsi="Arial"/>
      <w:b/>
      <w:bCs/>
      <w:sz w:val="22"/>
      <w:szCs w:val="20"/>
    </w:rPr>
  </w:style>
  <w:style w:type="character" w:customStyle="1" w:styleId="SubtitleChar">
    <w:name w:val="Subtitle Char"/>
    <w:basedOn w:val="DefaultParagraphFont"/>
    <w:link w:val="Subtitle"/>
    <w:rsid w:val="00D142C3"/>
    <w:rPr>
      <w:rFonts w:ascii="Arial" w:eastAsia="Times New Roman" w:hAnsi="Arial"/>
      <w:b/>
      <w:bCs/>
      <w:sz w:val="22"/>
      <w:lang w:eastAsia="en-US"/>
    </w:rPr>
  </w:style>
  <w:style w:type="paragraph" w:styleId="PlainText">
    <w:name w:val="Plain Text"/>
    <w:basedOn w:val="Normal"/>
    <w:link w:val="PlainTextChar"/>
    <w:uiPriority w:val="99"/>
    <w:unhideWhenUsed/>
    <w:rsid w:val="00B87C87"/>
    <w:pPr>
      <w:spacing w:before="0" w:after="0" w:line="240" w:lineRule="auto"/>
    </w:pPr>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B87C87"/>
    <w:rPr>
      <w:rFonts w:ascii="Calibri" w:eastAsiaTheme="minorHAnsi" w:hAnsi="Calibri" w:cs="Consolas"/>
      <w:sz w:val="22"/>
      <w:szCs w:val="21"/>
      <w:lang w:eastAsia="en-US"/>
    </w:rPr>
  </w:style>
  <w:style w:type="character" w:styleId="Strong">
    <w:name w:val="Strong"/>
    <w:basedOn w:val="DefaultParagraphFont"/>
    <w:uiPriority w:val="22"/>
    <w:qFormat/>
    <w:rsid w:val="002969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686937">
      <w:bodyDiv w:val="1"/>
      <w:marLeft w:val="0"/>
      <w:marRight w:val="0"/>
      <w:marTop w:val="0"/>
      <w:marBottom w:val="0"/>
      <w:divBdr>
        <w:top w:val="none" w:sz="0" w:space="0" w:color="auto"/>
        <w:left w:val="none" w:sz="0" w:space="0" w:color="auto"/>
        <w:bottom w:val="none" w:sz="0" w:space="0" w:color="auto"/>
        <w:right w:val="none" w:sz="0" w:space="0" w:color="auto"/>
      </w:divBdr>
    </w:div>
    <w:div w:id="445120549">
      <w:bodyDiv w:val="1"/>
      <w:marLeft w:val="0"/>
      <w:marRight w:val="0"/>
      <w:marTop w:val="0"/>
      <w:marBottom w:val="0"/>
      <w:divBdr>
        <w:top w:val="none" w:sz="0" w:space="0" w:color="auto"/>
        <w:left w:val="none" w:sz="0" w:space="0" w:color="auto"/>
        <w:bottom w:val="none" w:sz="0" w:space="0" w:color="auto"/>
        <w:right w:val="none" w:sz="0" w:space="0" w:color="auto"/>
      </w:divBdr>
    </w:div>
    <w:div w:id="526674244">
      <w:bodyDiv w:val="1"/>
      <w:marLeft w:val="0"/>
      <w:marRight w:val="0"/>
      <w:marTop w:val="0"/>
      <w:marBottom w:val="0"/>
      <w:divBdr>
        <w:top w:val="none" w:sz="0" w:space="0" w:color="auto"/>
        <w:left w:val="none" w:sz="0" w:space="0" w:color="auto"/>
        <w:bottom w:val="none" w:sz="0" w:space="0" w:color="auto"/>
        <w:right w:val="none" w:sz="0" w:space="0" w:color="auto"/>
      </w:divBdr>
    </w:div>
    <w:div w:id="699284305">
      <w:bodyDiv w:val="1"/>
      <w:marLeft w:val="0"/>
      <w:marRight w:val="0"/>
      <w:marTop w:val="0"/>
      <w:marBottom w:val="0"/>
      <w:divBdr>
        <w:top w:val="none" w:sz="0" w:space="0" w:color="auto"/>
        <w:left w:val="none" w:sz="0" w:space="0" w:color="auto"/>
        <w:bottom w:val="none" w:sz="0" w:space="0" w:color="auto"/>
        <w:right w:val="none" w:sz="0" w:space="0" w:color="auto"/>
      </w:divBdr>
    </w:div>
    <w:div w:id="870268778">
      <w:bodyDiv w:val="1"/>
      <w:marLeft w:val="0"/>
      <w:marRight w:val="0"/>
      <w:marTop w:val="0"/>
      <w:marBottom w:val="0"/>
      <w:divBdr>
        <w:top w:val="none" w:sz="0" w:space="0" w:color="auto"/>
        <w:left w:val="none" w:sz="0" w:space="0" w:color="auto"/>
        <w:bottom w:val="none" w:sz="0" w:space="0" w:color="auto"/>
        <w:right w:val="none" w:sz="0" w:space="0" w:color="auto"/>
      </w:divBdr>
    </w:div>
    <w:div w:id="1034234215">
      <w:bodyDiv w:val="1"/>
      <w:marLeft w:val="0"/>
      <w:marRight w:val="0"/>
      <w:marTop w:val="0"/>
      <w:marBottom w:val="0"/>
      <w:divBdr>
        <w:top w:val="none" w:sz="0" w:space="0" w:color="auto"/>
        <w:left w:val="none" w:sz="0" w:space="0" w:color="auto"/>
        <w:bottom w:val="none" w:sz="0" w:space="0" w:color="auto"/>
        <w:right w:val="none" w:sz="0" w:space="0" w:color="auto"/>
      </w:divBdr>
    </w:div>
    <w:div w:id="1066340236">
      <w:bodyDiv w:val="1"/>
      <w:marLeft w:val="0"/>
      <w:marRight w:val="0"/>
      <w:marTop w:val="0"/>
      <w:marBottom w:val="0"/>
      <w:divBdr>
        <w:top w:val="none" w:sz="0" w:space="0" w:color="auto"/>
        <w:left w:val="none" w:sz="0" w:space="0" w:color="auto"/>
        <w:bottom w:val="none" w:sz="0" w:space="0" w:color="auto"/>
        <w:right w:val="none" w:sz="0" w:space="0" w:color="auto"/>
      </w:divBdr>
    </w:div>
    <w:div w:id="1219324720">
      <w:bodyDiv w:val="1"/>
      <w:marLeft w:val="0"/>
      <w:marRight w:val="0"/>
      <w:marTop w:val="0"/>
      <w:marBottom w:val="0"/>
      <w:divBdr>
        <w:top w:val="none" w:sz="0" w:space="0" w:color="auto"/>
        <w:left w:val="none" w:sz="0" w:space="0" w:color="auto"/>
        <w:bottom w:val="none" w:sz="0" w:space="0" w:color="auto"/>
        <w:right w:val="none" w:sz="0" w:space="0" w:color="auto"/>
      </w:divBdr>
    </w:div>
    <w:div w:id="1259827645">
      <w:bodyDiv w:val="1"/>
      <w:marLeft w:val="0"/>
      <w:marRight w:val="0"/>
      <w:marTop w:val="0"/>
      <w:marBottom w:val="0"/>
      <w:divBdr>
        <w:top w:val="none" w:sz="0" w:space="0" w:color="auto"/>
        <w:left w:val="none" w:sz="0" w:space="0" w:color="auto"/>
        <w:bottom w:val="none" w:sz="0" w:space="0" w:color="auto"/>
        <w:right w:val="none" w:sz="0" w:space="0" w:color="auto"/>
      </w:divBdr>
      <w:divsChild>
        <w:div w:id="506095804">
          <w:marLeft w:val="547"/>
          <w:marRight w:val="0"/>
          <w:marTop w:val="200"/>
          <w:marBottom w:val="0"/>
          <w:divBdr>
            <w:top w:val="none" w:sz="0" w:space="0" w:color="auto"/>
            <w:left w:val="none" w:sz="0" w:space="0" w:color="auto"/>
            <w:bottom w:val="none" w:sz="0" w:space="0" w:color="auto"/>
            <w:right w:val="none" w:sz="0" w:space="0" w:color="auto"/>
          </w:divBdr>
        </w:div>
        <w:div w:id="191846125">
          <w:marLeft w:val="547"/>
          <w:marRight w:val="0"/>
          <w:marTop w:val="200"/>
          <w:marBottom w:val="0"/>
          <w:divBdr>
            <w:top w:val="none" w:sz="0" w:space="0" w:color="auto"/>
            <w:left w:val="none" w:sz="0" w:space="0" w:color="auto"/>
            <w:bottom w:val="none" w:sz="0" w:space="0" w:color="auto"/>
            <w:right w:val="none" w:sz="0" w:space="0" w:color="auto"/>
          </w:divBdr>
        </w:div>
        <w:div w:id="299651677">
          <w:marLeft w:val="547"/>
          <w:marRight w:val="0"/>
          <w:marTop w:val="200"/>
          <w:marBottom w:val="0"/>
          <w:divBdr>
            <w:top w:val="none" w:sz="0" w:space="0" w:color="auto"/>
            <w:left w:val="none" w:sz="0" w:space="0" w:color="auto"/>
            <w:bottom w:val="none" w:sz="0" w:space="0" w:color="auto"/>
            <w:right w:val="none" w:sz="0" w:space="0" w:color="auto"/>
          </w:divBdr>
        </w:div>
        <w:div w:id="524682703">
          <w:marLeft w:val="547"/>
          <w:marRight w:val="0"/>
          <w:marTop w:val="200"/>
          <w:marBottom w:val="0"/>
          <w:divBdr>
            <w:top w:val="none" w:sz="0" w:space="0" w:color="auto"/>
            <w:left w:val="none" w:sz="0" w:space="0" w:color="auto"/>
            <w:bottom w:val="none" w:sz="0" w:space="0" w:color="auto"/>
            <w:right w:val="none" w:sz="0" w:space="0" w:color="auto"/>
          </w:divBdr>
        </w:div>
        <w:div w:id="1405255350">
          <w:marLeft w:val="547"/>
          <w:marRight w:val="0"/>
          <w:marTop w:val="200"/>
          <w:marBottom w:val="0"/>
          <w:divBdr>
            <w:top w:val="none" w:sz="0" w:space="0" w:color="auto"/>
            <w:left w:val="none" w:sz="0" w:space="0" w:color="auto"/>
            <w:bottom w:val="none" w:sz="0" w:space="0" w:color="auto"/>
            <w:right w:val="none" w:sz="0" w:space="0" w:color="auto"/>
          </w:divBdr>
        </w:div>
      </w:divsChild>
    </w:div>
    <w:div w:id="1363821729">
      <w:bodyDiv w:val="1"/>
      <w:marLeft w:val="0"/>
      <w:marRight w:val="0"/>
      <w:marTop w:val="0"/>
      <w:marBottom w:val="0"/>
      <w:divBdr>
        <w:top w:val="none" w:sz="0" w:space="0" w:color="auto"/>
        <w:left w:val="none" w:sz="0" w:space="0" w:color="auto"/>
        <w:bottom w:val="none" w:sz="0" w:space="0" w:color="auto"/>
        <w:right w:val="none" w:sz="0" w:space="0" w:color="auto"/>
      </w:divBdr>
    </w:div>
    <w:div w:id="1457870852">
      <w:bodyDiv w:val="1"/>
      <w:marLeft w:val="0"/>
      <w:marRight w:val="0"/>
      <w:marTop w:val="0"/>
      <w:marBottom w:val="0"/>
      <w:divBdr>
        <w:top w:val="none" w:sz="0" w:space="0" w:color="auto"/>
        <w:left w:val="none" w:sz="0" w:space="0" w:color="auto"/>
        <w:bottom w:val="none" w:sz="0" w:space="0" w:color="auto"/>
        <w:right w:val="none" w:sz="0" w:space="0" w:color="auto"/>
      </w:divBdr>
    </w:div>
    <w:div w:id="1543058300">
      <w:bodyDiv w:val="1"/>
      <w:marLeft w:val="0"/>
      <w:marRight w:val="0"/>
      <w:marTop w:val="0"/>
      <w:marBottom w:val="0"/>
      <w:divBdr>
        <w:top w:val="none" w:sz="0" w:space="0" w:color="auto"/>
        <w:left w:val="none" w:sz="0" w:space="0" w:color="auto"/>
        <w:bottom w:val="none" w:sz="0" w:space="0" w:color="auto"/>
        <w:right w:val="none" w:sz="0" w:space="0" w:color="auto"/>
      </w:divBdr>
    </w:div>
    <w:div w:id="1829596387">
      <w:bodyDiv w:val="1"/>
      <w:marLeft w:val="0"/>
      <w:marRight w:val="0"/>
      <w:marTop w:val="0"/>
      <w:marBottom w:val="0"/>
      <w:divBdr>
        <w:top w:val="none" w:sz="0" w:space="0" w:color="auto"/>
        <w:left w:val="none" w:sz="0" w:space="0" w:color="auto"/>
        <w:bottom w:val="none" w:sz="0" w:space="0" w:color="auto"/>
        <w:right w:val="none" w:sz="0" w:space="0" w:color="auto"/>
      </w:divBdr>
    </w:div>
    <w:div w:id="1845588506">
      <w:bodyDiv w:val="1"/>
      <w:marLeft w:val="0"/>
      <w:marRight w:val="0"/>
      <w:marTop w:val="0"/>
      <w:marBottom w:val="0"/>
      <w:divBdr>
        <w:top w:val="none" w:sz="0" w:space="0" w:color="auto"/>
        <w:left w:val="none" w:sz="0" w:space="0" w:color="auto"/>
        <w:bottom w:val="none" w:sz="0" w:space="0" w:color="auto"/>
        <w:right w:val="none" w:sz="0" w:space="0" w:color="auto"/>
      </w:divBdr>
    </w:div>
    <w:div w:id="206250881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Planning.Unit@justice.tas.gov.au"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justice.tas.gov.au"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planningreform.tas.gov.a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29A41-91B5-407C-8892-22EB745DC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1CE517BB.dotm</Template>
  <TotalTime>0</TotalTime>
  <Pages>3</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Helen Bryen : Designer</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mandy.denby</dc:creator>
  <cp:lastModifiedBy>Evans, Susan</cp:lastModifiedBy>
  <cp:revision>2</cp:revision>
  <cp:lastPrinted>2017-10-25T02:11:00Z</cp:lastPrinted>
  <dcterms:created xsi:type="dcterms:W3CDTF">2017-11-30T22:16:00Z</dcterms:created>
  <dcterms:modified xsi:type="dcterms:W3CDTF">2017-11-30T22:16:00Z</dcterms:modified>
</cp:coreProperties>
</file>